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8030D" w14:textId="77777777" w:rsidR="00EE25EE" w:rsidRPr="00E7021A" w:rsidRDefault="00EE25EE" w:rsidP="00EE25EE">
      <w:pPr>
        <w:pStyle w:val="En-tte"/>
        <w:widowControl w:val="0"/>
        <w:jc w:val="center"/>
        <w:rPr>
          <w:b/>
          <w:color w:val="00B050"/>
          <w:sz w:val="20"/>
          <w:szCs w:val="20"/>
          <w:u w:val="single"/>
          <w:lang w:val="en-US"/>
        </w:rPr>
      </w:pPr>
      <w:r w:rsidRPr="00E7021A">
        <w:rPr>
          <w:b/>
          <w:color w:val="00B050"/>
          <w:sz w:val="20"/>
          <w:szCs w:val="20"/>
          <w:u w:val="single"/>
          <w:lang w:val="en-US"/>
        </w:rPr>
        <w:t>SUMMARIZED VERSION</w:t>
      </w:r>
    </w:p>
    <w:p w14:paraId="0F38030E" w14:textId="771760D1" w:rsidR="00EE25EE" w:rsidRPr="00E7021A" w:rsidRDefault="00EE25EE" w:rsidP="00EE25EE">
      <w:pPr>
        <w:pStyle w:val="En-tte"/>
        <w:widowControl w:val="0"/>
        <w:jc w:val="center"/>
        <w:rPr>
          <w:b/>
          <w:color w:val="00B050"/>
          <w:sz w:val="20"/>
          <w:szCs w:val="20"/>
          <w:u w:val="single"/>
          <w:lang w:val="en-US"/>
        </w:rPr>
      </w:pPr>
      <w:r w:rsidRPr="00E7021A">
        <w:rPr>
          <w:b/>
          <w:color w:val="00B050"/>
          <w:sz w:val="20"/>
          <w:szCs w:val="20"/>
          <w:u w:val="single"/>
          <w:lang w:val="en-US"/>
        </w:rPr>
        <w:t>OF TOTAL</w:t>
      </w:r>
      <w:r w:rsidR="00730281">
        <w:rPr>
          <w:b/>
          <w:color w:val="00B050"/>
          <w:sz w:val="20"/>
          <w:szCs w:val="20"/>
          <w:u w:val="single"/>
          <w:lang w:val="en-US"/>
        </w:rPr>
        <w:t>ENERGIES’</w:t>
      </w:r>
      <w:r w:rsidRPr="00E7021A">
        <w:rPr>
          <w:b/>
          <w:color w:val="00B050"/>
          <w:sz w:val="20"/>
          <w:szCs w:val="20"/>
          <w:u w:val="single"/>
          <w:lang w:val="en-US"/>
        </w:rPr>
        <w:t xml:space="preserve"> BINDING CORPORATE RULES</w:t>
      </w:r>
    </w:p>
    <w:p w14:paraId="0F38030F" w14:textId="77777777" w:rsidR="00EE25EE" w:rsidRPr="00E7021A" w:rsidRDefault="00EE25EE" w:rsidP="00EE25EE">
      <w:pPr>
        <w:pStyle w:val="En-tte"/>
        <w:widowControl w:val="0"/>
        <w:jc w:val="center"/>
        <w:rPr>
          <w:b/>
          <w:sz w:val="20"/>
          <w:szCs w:val="20"/>
          <w:u w:val="single"/>
          <w:lang w:val="en-US"/>
        </w:rPr>
      </w:pPr>
    </w:p>
    <w:p w14:paraId="0F380310" w14:textId="77777777" w:rsidR="00EE25EE" w:rsidRPr="00E7021A" w:rsidRDefault="00EE25EE" w:rsidP="00EE25EE">
      <w:pPr>
        <w:pStyle w:val="Paragraphedeliste"/>
        <w:numPr>
          <w:ilvl w:val="0"/>
          <w:numId w:val="5"/>
        </w:numPr>
        <w:jc w:val="both"/>
        <w:rPr>
          <w:b/>
          <w:color w:val="auto"/>
          <w:sz w:val="20"/>
          <w:szCs w:val="20"/>
          <w:lang w:val="en-US"/>
        </w:rPr>
      </w:pPr>
      <w:r w:rsidRPr="00E7021A">
        <w:rPr>
          <w:b/>
          <w:color w:val="auto"/>
          <w:sz w:val="20"/>
          <w:szCs w:val="20"/>
          <w:lang w:val="en-US"/>
        </w:rPr>
        <w:t>Introduction</w:t>
      </w:r>
    </w:p>
    <w:p w14:paraId="0F380311" w14:textId="77777777" w:rsidR="00EE25EE" w:rsidRPr="00E7021A" w:rsidRDefault="00EE25EE" w:rsidP="00EE25EE">
      <w:pPr>
        <w:jc w:val="both"/>
        <w:rPr>
          <w:color w:val="auto"/>
          <w:sz w:val="20"/>
          <w:szCs w:val="20"/>
          <w:lang w:val="en-US"/>
        </w:rPr>
      </w:pPr>
    </w:p>
    <w:p w14:paraId="0F380312" w14:textId="5F3F192C" w:rsidR="00EE25EE" w:rsidRPr="00E7021A" w:rsidRDefault="00EE25EE" w:rsidP="00EE25EE">
      <w:pPr>
        <w:jc w:val="both"/>
        <w:rPr>
          <w:color w:val="auto"/>
          <w:sz w:val="20"/>
          <w:szCs w:val="20"/>
          <w:lang w:val="en-US"/>
        </w:rPr>
      </w:pPr>
      <w:r w:rsidRPr="00E7021A">
        <w:rPr>
          <w:color w:val="auto"/>
          <w:sz w:val="20"/>
          <w:szCs w:val="20"/>
          <w:lang w:val="en-US"/>
        </w:rPr>
        <w:t xml:space="preserve">The </w:t>
      </w:r>
      <w:proofErr w:type="spellStart"/>
      <w:r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w:t>
      </w:r>
      <w:r w:rsidR="001B74E0">
        <w:rPr>
          <w:color w:val="auto"/>
          <w:sz w:val="20"/>
          <w:szCs w:val="20"/>
          <w:lang w:val="en-US"/>
        </w:rPr>
        <w:t>company</w:t>
      </w:r>
      <w:r w:rsidRPr="00E7021A">
        <w:rPr>
          <w:color w:val="auto"/>
          <w:sz w:val="20"/>
          <w:szCs w:val="20"/>
          <w:lang w:val="en-US"/>
        </w:rPr>
        <w:t xml:space="preserve"> (or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promotes a culture and practices </w:t>
      </w:r>
      <w:r w:rsidR="00F10C33">
        <w:rPr>
          <w:color w:val="auto"/>
          <w:sz w:val="20"/>
          <w:szCs w:val="20"/>
          <w:lang w:val="en-US"/>
        </w:rPr>
        <w:t>regarding the protection of</w:t>
      </w:r>
      <w:r w:rsidRPr="00E7021A">
        <w:rPr>
          <w:color w:val="auto"/>
          <w:sz w:val="20"/>
          <w:szCs w:val="20"/>
          <w:lang w:val="en-US"/>
        </w:rPr>
        <w:t xml:space="preserve"> personal data</w:t>
      </w:r>
      <w:r w:rsidRPr="00E7021A">
        <w:rPr>
          <w:rStyle w:val="Appelnotedebasdep"/>
          <w:color w:val="auto"/>
          <w:sz w:val="20"/>
          <w:szCs w:val="20"/>
          <w:lang w:val="en-US"/>
        </w:rPr>
        <w:footnoteReference w:id="1"/>
      </w:r>
      <w:r w:rsidRPr="00E7021A">
        <w:rPr>
          <w:color w:val="auto"/>
          <w:sz w:val="20"/>
          <w:szCs w:val="20"/>
          <w:lang w:val="en-US"/>
        </w:rPr>
        <w:t>, in accordance with the applicable laws. To t</w:t>
      </w:r>
      <w:r w:rsidR="00860B47">
        <w:rPr>
          <w:color w:val="auto"/>
          <w:sz w:val="20"/>
          <w:szCs w:val="20"/>
          <w:lang w:val="en-US"/>
        </w:rPr>
        <w:t xml:space="preserve">his end, </w:t>
      </w:r>
      <w:proofErr w:type="spellStart"/>
      <w:r w:rsidR="00730281" w:rsidRPr="00E7021A">
        <w:rPr>
          <w:color w:val="auto"/>
          <w:sz w:val="20"/>
          <w:szCs w:val="20"/>
          <w:lang w:val="en-US"/>
        </w:rPr>
        <w:t>Total</w:t>
      </w:r>
      <w:r w:rsidR="00730281">
        <w:rPr>
          <w:color w:val="auto"/>
          <w:sz w:val="20"/>
          <w:szCs w:val="20"/>
          <w:lang w:val="en-US"/>
        </w:rPr>
        <w:t>Energies</w:t>
      </w:r>
      <w:proofErr w:type="spellEnd"/>
      <w:r w:rsidR="00860B47">
        <w:rPr>
          <w:color w:val="auto"/>
          <w:sz w:val="20"/>
          <w:szCs w:val="20"/>
          <w:lang w:val="en-US"/>
        </w:rPr>
        <w:t xml:space="preserve"> has implemented Binding C</w:t>
      </w:r>
      <w:r w:rsidRPr="00E7021A">
        <w:rPr>
          <w:color w:val="auto"/>
          <w:sz w:val="20"/>
          <w:szCs w:val="20"/>
          <w:lang w:val="en-US"/>
        </w:rPr>
        <w:t xml:space="preserve">orporate </w:t>
      </w:r>
      <w:r w:rsidR="00860B47">
        <w:rPr>
          <w:color w:val="auto"/>
          <w:sz w:val="20"/>
          <w:szCs w:val="20"/>
          <w:lang w:val="en-US"/>
        </w:rPr>
        <w:t>R</w:t>
      </w:r>
      <w:r w:rsidRPr="00E7021A">
        <w:rPr>
          <w:color w:val="auto"/>
          <w:sz w:val="20"/>
          <w:szCs w:val="20"/>
          <w:lang w:val="en-US"/>
        </w:rPr>
        <w:t>ules (“BCRs”).</w:t>
      </w:r>
    </w:p>
    <w:p w14:paraId="0F380313" w14:textId="77777777" w:rsidR="00EE25EE" w:rsidRPr="00E7021A" w:rsidRDefault="00EE25EE" w:rsidP="00EE25EE">
      <w:pPr>
        <w:jc w:val="both"/>
        <w:rPr>
          <w:color w:val="auto"/>
          <w:sz w:val="20"/>
          <w:szCs w:val="20"/>
          <w:lang w:val="en-US"/>
        </w:rPr>
      </w:pPr>
    </w:p>
    <w:p w14:paraId="0F380314" w14:textId="4DD176E1" w:rsidR="00EE25EE" w:rsidRPr="00E7021A" w:rsidRDefault="00EE25EE" w:rsidP="00EE25EE">
      <w:pPr>
        <w:jc w:val="both"/>
        <w:rPr>
          <w:color w:val="auto"/>
          <w:sz w:val="20"/>
          <w:szCs w:val="20"/>
          <w:lang w:val="en-US"/>
        </w:rPr>
      </w:pPr>
      <w:r w:rsidRPr="00E7021A">
        <w:rPr>
          <w:color w:val="auto"/>
          <w:sz w:val="20"/>
          <w:szCs w:val="20"/>
          <w:lang w:val="en-US"/>
        </w:rPr>
        <w:t>This document summarizes the data protection principles that apply under</w:t>
      </w:r>
      <w:r w:rsidR="00FD40B4">
        <w:rPr>
          <w:color w:val="auto"/>
          <w:sz w:val="20"/>
          <w:szCs w:val="20"/>
          <w:lang w:val="en-US"/>
        </w:rPr>
        <w:t xml:space="preserve"> </w:t>
      </w:r>
      <w:r w:rsidR="0033535E">
        <w:rPr>
          <w:color w:val="auto"/>
          <w:sz w:val="20"/>
          <w:szCs w:val="20"/>
          <w:lang w:val="en-US"/>
        </w:rPr>
        <w:t>our</w:t>
      </w:r>
      <w:r w:rsidRPr="00E7021A">
        <w:rPr>
          <w:color w:val="auto"/>
          <w:sz w:val="20"/>
          <w:szCs w:val="20"/>
          <w:lang w:val="en-US"/>
        </w:rPr>
        <w:t xml:space="preserve"> BCRs and the rights granted by them. </w:t>
      </w:r>
    </w:p>
    <w:p w14:paraId="0F380315" w14:textId="77777777" w:rsidR="00EE25EE" w:rsidRPr="00E7021A" w:rsidRDefault="00EE25EE" w:rsidP="00EE25EE">
      <w:pPr>
        <w:jc w:val="both"/>
        <w:rPr>
          <w:color w:val="auto"/>
          <w:sz w:val="20"/>
          <w:szCs w:val="20"/>
          <w:lang w:val="en-US"/>
        </w:rPr>
      </w:pPr>
    </w:p>
    <w:p w14:paraId="0F380316" w14:textId="77777777" w:rsidR="00EE25EE" w:rsidRPr="00E7021A" w:rsidRDefault="00EE25EE" w:rsidP="00EE25EE">
      <w:pPr>
        <w:pStyle w:val="Paragraphedeliste"/>
        <w:numPr>
          <w:ilvl w:val="0"/>
          <w:numId w:val="5"/>
        </w:numPr>
        <w:jc w:val="both"/>
        <w:rPr>
          <w:b/>
          <w:color w:val="auto"/>
          <w:sz w:val="20"/>
          <w:szCs w:val="20"/>
          <w:lang w:val="en-US"/>
        </w:rPr>
      </w:pPr>
      <w:r w:rsidRPr="00E7021A">
        <w:rPr>
          <w:b/>
          <w:color w:val="auto"/>
          <w:sz w:val="20"/>
          <w:szCs w:val="20"/>
          <w:lang w:val="en-US"/>
        </w:rPr>
        <w:t>Purpose</w:t>
      </w:r>
    </w:p>
    <w:p w14:paraId="0F380317" w14:textId="77777777" w:rsidR="00EE25EE" w:rsidRPr="00E7021A" w:rsidRDefault="00EE25EE" w:rsidP="00EE25EE">
      <w:pPr>
        <w:jc w:val="both"/>
        <w:rPr>
          <w:color w:val="auto"/>
          <w:sz w:val="20"/>
          <w:szCs w:val="20"/>
          <w:lang w:val="en-US"/>
        </w:rPr>
      </w:pPr>
    </w:p>
    <w:p w14:paraId="0F380318" w14:textId="62D30BC0" w:rsidR="00EE25EE" w:rsidRPr="00E7021A" w:rsidRDefault="000E7085" w:rsidP="00EE25EE">
      <w:pPr>
        <w:jc w:val="both"/>
        <w:rPr>
          <w:color w:val="auto"/>
          <w:sz w:val="20"/>
          <w:szCs w:val="20"/>
          <w:lang w:val="en-US"/>
        </w:rPr>
      </w:pPr>
      <w:r>
        <w:rPr>
          <w:color w:val="auto"/>
          <w:sz w:val="20"/>
          <w:szCs w:val="20"/>
          <w:lang w:val="en-US"/>
        </w:rPr>
        <w:t>Our</w:t>
      </w:r>
      <w:r w:rsidR="009D496A">
        <w:rPr>
          <w:color w:val="auto"/>
          <w:sz w:val="20"/>
          <w:szCs w:val="20"/>
          <w:lang w:val="en-US"/>
        </w:rPr>
        <w:t xml:space="preserve"> BCRs</w:t>
      </w:r>
      <w:r w:rsidR="00EE25EE" w:rsidRPr="00E7021A">
        <w:rPr>
          <w:color w:val="auto"/>
          <w:sz w:val="20"/>
          <w:szCs w:val="20"/>
          <w:lang w:val="en-US"/>
        </w:rPr>
        <w:t xml:space="preserve"> are a set of internal binding rules, which are applicable to </w:t>
      </w:r>
      <w:proofErr w:type="gramStart"/>
      <w:r w:rsidR="00EE25EE" w:rsidRPr="00E7021A">
        <w:rPr>
          <w:color w:val="auto"/>
          <w:sz w:val="20"/>
          <w:szCs w:val="20"/>
          <w:lang w:val="en-US"/>
        </w:rPr>
        <w:t>all of</w:t>
      </w:r>
      <w:proofErr w:type="gramEnd"/>
      <w:r w:rsidR="00EE25EE" w:rsidRPr="00E7021A">
        <w:rPr>
          <w:color w:val="auto"/>
          <w:sz w:val="20"/>
          <w:szCs w:val="20"/>
          <w:lang w:val="en-US"/>
        </w:rPr>
        <w:t xml:space="preserve"> the </w:t>
      </w:r>
      <w:proofErr w:type="spellStart"/>
      <w:r w:rsidR="00730281" w:rsidRPr="00E7021A">
        <w:rPr>
          <w:color w:val="auto"/>
          <w:sz w:val="20"/>
          <w:szCs w:val="20"/>
          <w:lang w:val="en-US"/>
        </w:rPr>
        <w:t>Total</w:t>
      </w:r>
      <w:r w:rsidR="00730281">
        <w:rPr>
          <w:color w:val="auto"/>
          <w:sz w:val="20"/>
          <w:szCs w:val="20"/>
          <w:lang w:val="en-US"/>
        </w:rPr>
        <w:t>Energies</w:t>
      </w:r>
      <w:proofErr w:type="spellEnd"/>
      <w:r w:rsidR="00EE25EE" w:rsidRPr="00E7021A">
        <w:rPr>
          <w:color w:val="auto"/>
          <w:sz w:val="20"/>
          <w:szCs w:val="20"/>
          <w:lang w:val="en-US"/>
        </w:rPr>
        <w:t xml:space="preserve"> subsidiaries that have adopted them. They have been approved by the European data protection authorities.</w:t>
      </w:r>
    </w:p>
    <w:p w14:paraId="0F380319" w14:textId="77777777" w:rsidR="00EE25EE" w:rsidRPr="00E7021A" w:rsidRDefault="00EE25EE" w:rsidP="00EE25EE">
      <w:pPr>
        <w:jc w:val="both"/>
        <w:rPr>
          <w:color w:val="auto"/>
          <w:sz w:val="20"/>
          <w:szCs w:val="20"/>
          <w:lang w:val="en-US"/>
        </w:rPr>
      </w:pPr>
    </w:p>
    <w:p w14:paraId="0F38031A" w14:textId="4203C18C" w:rsidR="00EE25EE" w:rsidRPr="00E7021A" w:rsidRDefault="00EE25EE" w:rsidP="00EE25EE">
      <w:pPr>
        <w:jc w:val="both"/>
        <w:rPr>
          <w:color w:val="auto"/>
          <w:sz w:val="20"/>
          <w:szCs w:val="20"/>
          <w:lang w:val="en-US"/>
        </w:rPr>
      </w:pPr>
      <w:r w:rsidRPr="00E7021A">
        <w:rPr>
          <w:color w:val="auto"/>
          <w:sz w:val="20"/>
          <w:szCs w:val="20"/>
          <w:lang w:val="en-US"/>
        </w:rPr>
        <w:t>They allow</w:t>
      </w:r>
      <w:r w:rsidR="00730281">
        <w:rPr>
          <w:color w:val="auto"/>
          <w:sz w:val="20"/>
          <w:szCs w:val="20"/>
          <w:lang w:val="en-US"/>
        </w:rPr>
        <w:t xml:space="preserve"> </w:t>
      </w:r>
      <w:proofErr w:type="spellStart"/>
      <w:r w:rsidR="00730281" w:rsidRPr="00E7021A">
        <w:rPr>
          <w:color w:val="auto"/>
          <w:sz w:val="20"/>
          <w:szCs w:val="20"/>
          <w:lang w:val="en-US"/>
        </w:rPr>
        <w:t>Total</w:t>
      </w:r>
      <w:r w:rsidR="00730281">
        <w:rPr>
          <w:color w:val="auto"/>
          <w:sz w:val="20"/>
          <w:szCs w:val="20"/>
          <w:lang w:val="en-US"/>
        </w:rPr>
        <w:t>Energies</w:t>
      </w:r>
      <w:proofErr w:type="spellEnd"/>
      <w:r w:rsidR="00730281" w:rsidRPr="00E7021A">
        <w:rPr>
          <w:color w:val="auto"/>
          <w:sz w:val="20"/>
          <w:szCs w:val="20"/>
          <w:lang w:val="en-US"/>
        </w:rPr>
        <w:t xml:space="preserve"> </w:t>
      </w:r>
      <w:r w:rsidRPr="00E7021A">
        <w:rPr>
          <w:color w:val="auto"/>
          <w:sz w:val="20"/>
          <w:szCs w:val="20"/>
          <w:lang w:val="en-US"/>
        </w:rPr>
        <w:t>subsidiaries to transfer personal data originating from the European economic area (“EEA”)</w:t>
      </w:r>
      <w:r w:rsidRPr="00E7021A">
        <w:rPr>
          <w:rStyle w:val="Appelnotedebasdep"/>
          <w:color w:val="auto"/>
          <w:sz w:val="20"/>
          <w:szCs w:val="20"/>
          <w:lang w:val="en-US"/>
        </w:rPr>
        <w:footnoteReference w:id="2"/>
      </w:r>
      <w:r w:rsidRPr="00E7021A">
        <w:rPr>
          <w:color w:val="auto"/>
          <w:sz w:val="20"/>
          <w:szCs w:val="20"/>
          <w:lang w:val="en-US"/>
        </w:rPr>
        <w:t xml:space="preserve"> to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subsidiaries located outside of the EEA in compliance with the applicable law.</w:t>
      </w:r>
    </w:p>
    <w:p w14:paraId="0F38031B" w14:textId="77777777" w:rsidR="00EE25EE" w:rsidRPr="00E7021A" w:rsidRDefault="00EE25EE" w:rsidP="00EE25EE">
      <w:pPr>
        <w:jc w:val="both"/>
        <w:rPr>
          <w:color w:val="auto"/>
          <w:sz w:val="20"/>
          <w:szCs w:val="20"/>
          <w:lang w:val="en-US"/>
        </w:rPr>
      </w:pPr>
    </w:p>
    <w:p w14:paraId="0F38031C" w14:textId="77777777" w:rsidR="00EE25EE" w:rsidRPr="00E7021A" w:rsidRDefault="00EE25EE" w:rsidP="00EE25EE">
      <w:pPr>
        <w:pStyle w:val="Paragraphedeliste"/>
        <w:numPr>
          <w:ilvl w:val="0"/>
          <w:numId w:val="5"/>
        </w:numPr>
        <w:jc w:val="both"/>
        <w:rPr>
          <w:b/>
          <w:color w:val="auto"/>
          <w:sz w:val="20"/>
          <w:szCs w:val="20"/>
          <w:lang w:val="en-US"/>
        </w:rPr>
      </w:pPr>
      <w:r w:rsidRPr="00E7021A">
        <w:rPr>
          <w:b/>
          <w:color w:val="auto"/>
          <w:sz w:val="20"/>
          <w:szCs w:val="20"/>
          <w:lang w:val="en-US"/>
        </w:rPr>
        <w:t>Implementation scope</w:t>
      </w:r>
    </w:p>
    <w:p w14:paraId="0F38031D" w14:textId="77777777" w:rsidR="00EE25EE" w:rsidRPr="00E7021A" w:rsidRDefault="00EE25EE" w:rsidP="00EE25EE">
      <w:pPr>
        <w:jc w:val="both"/>
        <w:rPr>
          <w:color w:val="auto"/>
          <w:sz w:val="20"/>
          <w:szCs w:val="20"/>
          <w:lang w:val="en-US"/>
        </w:rPr>
      </w:pPr>
    </w:p>
    <w:p w14:paraId="0F38031E" w14:textId="133DBA55" w:rsidR="00EE25EE" w:rsidRPr="00E7021A" w:rsidRDefault="00EE25EE" w:rsidP="00EE25EE">
      <w:pPr>
        <w:jc w:val="both"/>
        <w:rPr>
          <w:color w:val="auto"/>
          <w:sz w:val="20"/>
          <w:szCs w:val="20"/>
          <w:lang w:val="en-US"/>
        </w:rPr>
      </w:pPr>
      <w:r w:rsidRPr="00E7021A">
        <w:rPr>
          <w:color w:val="auto"/>
          <w:sz w:val="20"/>
          <w:szCs w:val="20"/>
          <w:lang w:val="en-US"/>
        </w:rPr>
        <w:t xml:space="preserve">Our BCRs apply to all EEA-originating personal data processed by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subsidiaries including data relating to former and current employees, job applicants, clients and prospective clients, suppliers and sub-contractors and the staff of third companies acting on behalf of the </w:t>
      </w:r>
      <w:r w:rsidR="001B74E0">
        <w:rPr>
          <w:color w:val="auto"/>
          <w:sz w:val="20"/>
          <w:szCs w:val="20"/>
          <w:lang w:val="en-US"/>
        </w:rPr>
        <w:t>Company</w:t>
      </w:r>
      <w:r w:rsidRPr="00E7021A">
        <w:rPr>
          <w:color w:val="auto"/>
          <w:sz w:val="20"/>
          <w:szCs w:val="20"/>
          <w:lang w:val="en-US"/>
        </w:rPr>
        <w:t xml:space="preserve"> subsidiaries as well as shareholders (hereafter “data subjects”). </w:t>
      </w:r>
    </w:p>
    <w:p w14:paraId="0F38031F" w14:textId="77777777" w:rsidR="00EE25EE" w:rsidRPr="00E7021A" w:rsidRDefault="00EE25EE" w:rsidP="00EE25EE">
      <w:pPr>
        <w:jc w:val="both"/>
        <w:rPr>
          <w:color w:val="auto"/>
          <w:sz w:val="20"/>
          <w:szCs w:val="20"/>
          <w:lang w:val="en-US"/>
        </w:rPr>
      </w:pPr>
    </w:p>
    <w:p w14:paraId="0F380320" w14:textId="77777777" w:rsidR="00EE25EE" w:rsidRPr="00E7021A" w:rsidRDefault="00EE25EE" w:rsidP="00EE25EE">
      <w:pPr>
        <w:pStyle w:val="Paragraphedeliste"/>
        <w:numPr>
          <w:ilvl w:val="0"/>
          <w:numId w:val="5"/>
        </w:numPr>
        <w:jc w:val="both"/>
        <w:rPr>
          <w:b/>
          <w:color w:val="auto"/>
          <w:sz w:val="20"/>
          <w:szCs w:val="20"/>
          <w:lang w:val="en-US"/>
        </w:rPr>
      </w:pPr>
      <w:r w:rsidRPr="00E7021A">
        <w:rPr>
          <w:b/>
          <w:color w:val="auto"/>
          <w:sz w:val="20"/>
          <w:szCs w:val="20"/>
          <w:lang w:val="en-US"/>
        </w:rPr>
        <w:t>Protection principles</w:t>
      </w:r>
    </w:p>
    <w:p w14:paraId="0F380321" w14:textId="77777777" w:rsidR="00EE25EE" w:rsidRPr="00E7021A" w:rsidRDefault="00EE25EE" w:rsidP="00EE25EE">
      <w:pPr>
        <w:jc w:val="both"/>
        <w:rPr>
          <w:color w:val="auto"/>
          <w:sz w:val="20"/>
          <w:szCs w:val="20"/>
          <w:lang w:val="en-US"/>
        </w:rPr>
      </w:pPr>
    </w:p>
    <w:p w14:paraId="0F380322" w14:textId="1D00C052" w:rsidR="00EE25EE" w:rsidRPr="00E7021A" w:rsidRDefault="00EE25EE" w:rsidP="00EE25EE">
      <w:pPr>
        <w:jc w:val="both"/>
        <w:rPr>
          <w:color w:val="auto"/>
          <w:sz w:val="20"/>
          <w:szCs w:val="20"/>
          <w:lang w:val="en-US"/>
        </w:rPr>
      </w:pPr>
      <w:r w:rsidRPr="00E7021A">
        <w:rPr>
          <w:color w:val="auto"/>
          <w:sz w:val="20"/>
          <w:szCs w:val="20"/>
          <w:lang w:val="en-US"/>
        </w:rPr>
        <w:t xml:space="preserve">The following principles set out in </w:t>
      </w:r>
      <w:r w:rsidR="00360685">
        <w:rPr>
          <w:color w:val="auto"/>
          <w:sz w:val="20"/>
          <w:szCs w:val="20"/>
          <w:lang w:val="en-US"/>
        </w:rPr>
        <w:t>our</w:t>
      </w:r>
      <w:r w:rsidR="009D496A">
        <w:rPr>
          <w:color w:val="auto"/>
          <w:sz w:val="20"/>
          <w:szCs w:val="20"/>
          <w:lang w:val="en-US"/>
        </w:rPr>
        <w:t xml:space="preserve"> BCRs must be respected, among which:</w:t>
      </w:r>
      <w:r w:rsidRPr="00E7021A">
        <w:rPr>
          <w:color w:val="auto"/>
          <w:sz w:val="20"/>
          <w:szCs w:val="20"/>
          <w:lang w:val="en-US"/>
        </w:rPr>
        <w:t xml:space="preserve">  </w:t>
      </w:r>
    </w:p>
    <w:p w14:paraId="0F380323" w14:textId="77777777" w:rsidR="00EE25EE" w:rsidRPr="00E7021A" w:rsidRDefault="00EE25EE" w:rsidP="00EE25EE">
      <w:pPr>
        <w:jc w:val="both"/>
        <w:rPr>
          <w:color w:val="auto"/>
          <w:sz w:val="20"/>
          <w:szCs w:val="20"/>
          <w:lang w:val="en-US"/>
        </w:rPr>
      </w:pPr>
    </w:p>
    <w:p w14:paraId="0F380324" w14:textId="77777777" w:rsidR="00EE25EE" w:rsidRPr="00E7021A" w:rsidRDefault="00EE25EE" w:rsidP="00EE25EE">
      <w:pPr>
        <w:pStyle w:val="Paragraphedeliste"/>
        <w:numPr>
          <w:ilvl w:val="0"/>
          <w:numId w:val="4"/>
        </w:numPr>
        <w:jc w:val="both"/>
        <w:rPr>
          <w:b/>
          <w:color w:val="auto"/>
          <w:sz w:val="20"/>
          <w:szCs w:val="20"/>
          <w:lang w:val="en-US"/>
        </w:rPr>
      </w:pPr>
      <w:r w:rsidRPr="00E7021A">
        <w:rPr>
          <w:b/>
          <w:color w:val="auto"/>
          <w:sz w:val="20"/>
          <w:szCs w:val="20"/>
          <w:lang w:val="en-US"/>
        </w:rPr>
        <w:t>Lawfulness</w:t>
      </w:r>
    </w:p>
    <w:p w14:paraId="0F380325" w14:textId="77777777" w:rsidR="00EE25EE" w:rsidRPr="00E7021A" w:rsidRDefault="00EE25EE" w:rsidP="00EE25EE">
      <w:pPr>
        <w:jc w:val="both"/>
        <w:rPr>
          <w:color w:val="auto"/>
          <w:sz w:val="20"/>
          <w:szCs w:val="20"/>
          <w:lang w:val="en-US"/>
        </w:rPr>
      </w:pPr>
    </w:p>
    <w:p w14:paraId="0F380326" w14:textId="21B05954" w:rsidR="00EE25EE" w:rsidRPr="00E7021A" w:rsidRDefault="00EE25EE" w:rsidP="00EE25EE">
      <w:pPr>
        <w:jc w:val="both"/>
        <w:rPr>
          <w:color w:val="auto"/>
          <w:sz w:val="20"/>
          <w:szCs w:val="20"/>
          <w:lang w:val="en-US"/>
        </w:rPr>
      </w:pPr>
      <w:r w:rsidRPr="00E7021A">
        <w:rPr>
          <w:color w:val="auto"/>
          <w:sz w:val="20"/>
          <w:szCs w:val="20"/>
          <w:lang w:val="en-US"/>
        </w:rPr>
        <w:t>Any processing</w:t>
      </w:r>
      <w:r w:rsidRPr="00E7021A">
        <w:rPr>
          <w:rStyle w:val="Appelnotedebasdep"/>
          <w:color w:val="auto"/>
          <w:sz w:val="20"/>
          <w:szCs w:val="20"/>
          <w:lang w:val="en-US"/>
        </w:rPr>
        <w:footnoteReference w:id="3"/>
      </w:r>
      <w:r w:rsidRPr="00E7021A">
        <w:rPr>
          <w:color w:val="auto"/>
          <w:sz w:val="20"/>
          <w:szCs w:val="20"/>
          <w:lang w:val="en-US"/>
        </w:rPr>
        <w:t xml:space="preserve"> operation carried out has a legal basis, provided by the applicable law.</w:t>
      </w:r>
    </w:p>
    <w:p w14:paraId="0F380327" w14:textId="77777777" w:rsidR="00EE25EE" w:rsidRPr="00E7021A" w:rsidRDefault="00EE25EE" w:rsidP="00EE25EE">
      <w:pPr>
        <w:jc w:val="both"/>
        <w:rPr>
          <w:color w:val="auto"/>
          <w:sz w:val="20"/>
          <w:szCs w:val="20"/>
          <w:lang w:val="en-US"/>
        </w:rPr>
      </w:pPr>
    </w:p>
    <w:p w14:paraId="0F380328" w14:textId="771B541D" w:rsidR="00EE25EE" w:rsidRPr="00E7021A" w:rsidRDefault="00EE25EE" w:rsidP="00EE25EE">
      <w:pPr>
        <w:jc w:val="both"/>
        <w:rPr>
          <w:color w:val="auto"/>
          <w:sz w:val="20"/>
          <w:szCs w:val="20"/>
          <w:lang w:val="en-US"/>
        </w:rPr>
      </w:pPr>
      <w:r w:rsidRPr="00E7021A">
        <w:rPr>
          <w:color w:val="auto"/>
          <w:sz w:val="20"/>
          <w:szCs w:val="20"/>
          <w:lang w:val="en-US"/>
        </w:rPr>
        <w:t xml:space="preserve">Personal data must only be processed for </w:t>
      </w:r>
      <w:r w:rsidR="009D496A">
        <w:rPr>
          <w:color w:val="auto"/>
          <w:sz w:val="20"/>
          <w:szCs w:val="20"/>
          <w:lang w:val="en-US"/>
        </w:rPr>
        <w:t xml:space="preserve">lawful, </w:t>
      </w:r>
      <w:proofErr w:type="gramStart"/>
      <w:r w:rsidR="009D496A">
        <w:rPr>
          <w:color w:val="auto"/>
          <w:sz w:val="20"/>
          <w:szCs w:val="20"/>
          <w:lang w:val="en-US"/>
        </w:rPr>
        <w:t>determined</w:t>
      </w:r>
      <w:proofErr w:type="gramEnd"/>
      <w:r w:rsidR="009D496A">
        <w:rPr>
          <w:color w:val="auto"/>
          <w:sz w:val="20"/>
          <w:szCs w:val="20"/>
          <w:lang w:val="en-US"/>
        </w:rPr>
        <w:t xml:space="preserve"> and </w:t>
      </w:r>
      <w:r w:rsidRPr="00E7021A">
        <w:rPr>
          <w:color w:val="auto"/>
          <w:sz w:val="20"/>
          <w:szCs w:val="20"/>
          <w:lang w:val="en-US"/>
        </w:rPr>
        <w:t>legitimate purposes. The data must not be further processed in a way which is incompatible with those purposes.</w:t>
      </w:r>
    </w:p>
    <w:p w14:paraId="0F380329" w14:textId="77777777" w:rsidR="00EE25EE" w:rsidRPr="00E7021A" w:rsidRDefault="00EE25EE" w:rsidP="00EE25EE">
      <w:pPr>
        <w:jc w:val="both"/>
        <w:rPr>
          <w:color w:val="auto"/>
          <w:sz w:val="20"/>
          <w:szCs w:val="20"/>
          <w:lang w:val="en-US"/>
        </w:rPr>
      </w:pPr>
    </w:p>
    <w:p w14:paraId="0F38032A" w14:textId="77777777" w:rsidR="00EE25EE" w:rsidRPr="00E7021A" w:rsidRDefault="00EE25EE" w:rsidP="00EE25EE">
      <w:pPr>
        <w:pStyle w:val="Paragraphedeliste"/>
        <w:numPr>
          <w:ilvl w:val="0"/>
          <w:numId w:val="4"/>
        </w:numPr>
        <w:jc w:val="both"/>
        <w:rPr>
          <w:b/>
          <w:color w:val="auto"/>
          <w:sz w:val="20"/>
          <w:szCs w:val="20"/>
          <w:lang w:val="en-US"/>
        </w:rPr>
      </w:pPr>
      <w:r w:rsidRPr="00E7021A">
        <w:rPr>
          <w:b/>
          <w:color w:val="auto"/>
          <w:sz w:val="20"/>
          <w:szCs w:val="20"/>
          <w:lang w:val="en-US"/>
        </w:rPr>
        <w:t>Relevance</w:t>
      </w:r>
    </w:p>
    <w:p w14:paraId="0F38032B" w14:textId="77777777" w:rsidR="00EE25EE" w:rsidRPr="00E7021A" w:rsidRDefault="00EE25EE" w:rsidP="00EE25EE">
      <w:pPr>
        <w:jc w:val="both"/>
        <w:rPr>
          <w:color w:val="auto"/>
          <w:sz w:val="20"/>
          <w:szCs w:val="20"/>
          <w:lang w:val="en-US"/>
        </w:rPr>
      </w:pPr>
    </w:p>
    <w:p w14:paraId="0F38032C" w14:textId="77777777" w:rsidR="00EE25EE" w:rsidRPr="00E7021A" w:rsidRDefault="00EE25EE" w:rsidP="00EE25EE">
      <w:pPr>
        <w:jc w:val="both"/>
        <w:rPr>
          <w:color w:val="auto"/>
          <w:sz w:val="20"/>
          <w:szCs w:val="20"/>
          <w:lang w:val="en-US"/>
        </w:rPr>
      </w:pPr>
      <w:r w:rsidRPr="00E7021A">
        <w:rPr>
          <w:color w:val="auto"/>
          <w:sz w:val="20"/>
          <w:szCs w:val="20"/>
          <w:lang w:val="en-US"/>
        </w:rPr>
        <w:t>Personal data must be accurate and proportionate, in terms of quality and quantity, in relation to the purpose of the processing.</w:t>
      </w:r>
    </w:p>
    <w:p w14:paraId="0F38032D" w14:textId="77777777" w:rsidR="00EE25EE" w:rsidRPr="00E7021A" w:rsidRDefault="00EE25EE" w:rsidP="00EE25EE">
      <w:pPr>
        <w:jc w:val="both"/>
        <w:rPr>
          <w:color w:val="auto"/>
          <w:sz w:val="20"/>
          <w:szCs w:val="20"/>
          <w:lang w:val="en-US"/>
        </w:rPr>
      </w:pPr>
    </w:p>
    <w:p w14:paraId="0F38032E" w14:textId="77777777" w:rsidR="00EE25EE" w:rsidRPr="00E7021A" w:rsidRDefault="00EE25EE" w:rsidP="00EE25EE">
      <w:pPr>
        <w:pStyle w:val="Paragraphedeliste"/>
        <w:numPr>
          <w:ilvl w:val="0"/>
          <w:numId w:val="4"/>
        </w:numPr>
        <w:jc w:val="both"/>
        <w:rPr>
          <w:b/>
          <w:color w:val="auto"/>
          <w:sz w:val="20"/>
          <w:szCs w:val="20"/>
          <w:lang w:val="en-US"/>
        </w:rPr>
      </w:pPr>
      <w:r w:rsidRPr="00E7021A">
        <w:rPr>
          <w:b/>
          <w:color w:val="auto"/>
          <w:sz w:val="20"/>
          <w:szCs w:val="20"/>
          <w:lang w:val="en-US"/>
        </w:rPr>
        <w:t>Transparency</w:t>
      </w:r>
    </w:p>
    <w:p w14:paraId="0F38032F" w14:textId="77777777" w:rsidR="00EE25EE" w:rsidRPr="00E7021A" w:rsidRDefault="00EE25EE" w:rsidP="00EE25EE">
      <w:pPr>
        <w:jc w:val="both"/>
        <w:rPr>
          <w:color w:val="auto"/>
          <w:sz w:val="20"/>
          <w:szCs w:val="20"/>
          <w:lang w:val="en-US"/>
        </w:rPr>
      </w:pPr>
    </w:p>
    <w:p w14:paraId="0F380330" w14:textId="77777777" w:rsidR="00EE25EE" w:rsidRPr="00E7021A" w:rsidRDefault="00EE25EE" w:rsidP="00EE25EE">
      <w:pPr>
        <w:jc w:val="both"/>
        <w:rPr>
          <w:color w:val="auto"/>
          <w:sz w:val="20"/>
          <w:szCs w:val="20"/>
          <w:lang w:val="en-US"/>
        </w:rPr>
      </w:pPr>
      <w:r w:rsidRPr="00E7021A">
        <w:rPr>
          <w:color w:val="auto"/>
          <w:sz w:val="20"/>
          <w:szCs w:val="20"/>
          <w:lang w:val="en-US"/>
        </w:rPr>
        <w:t xml:space="preserve">Personal data must be obtained lawfully and loyally. Data subjects must be informed about the characteristics of the processing of their personal data and about their </w:t>
      </w:r>
      <w:proofErr w:type="gramStart"/>
      <w:r w:rsidRPr="00E7021A">
        <w:rPr>
          <w:color w:val="auto"/>
          <w:sz w:val="20"/>
          <w:szCs w:val="20"/>
          <w:lang w:val="en-US"/>
        </w:rPr>
        <w:t>rights, unless</w:t>
      </w:r>
      <w:proofErr w:type="gramEnd"/>
      <w:r w:rsidRPr="00E7021A">
        <w:rPr>
          <w:color w:val="auto"/>
          <w:sz w:val="20"/>
          <w:szCs w:val="20"/>
          <w:lang w:val="en-US"/>
        </w:rPr>
        <w:t xml:space="preserve"> this proves impossible or would involve disproportionate efforts.</w:t>
      </w:r>
    </w:p>
    <w:p w14:paraId="0F380331" w14:textId="77777777" w:rsidR="00EE25EE" w:rsidRPr="00E7021A" w:rsidRDefault="00EE25EE" w:rsidP="00EE25EE">
      <w:pPr>
        <w:jc w:val="both"/>
        <w:rPr>
          <w:color w:val="auto"/>
          <w:sz w:val="20"/>
          <w:szCs w:val="20"/>
          <w:lang w:val="en-US"/>
        </w:rPr>
      </w:pPr>
    </w:p>
    <w:p w14:paraId="0F380332" w14:textId="77777777" w:rsidR="00EE25EE" w:rsidRPr="00E7021A" w:rsidRDefault="00EE25EE" w:rsidP="00EE25EE">
      <w:pPr>
        <w:pStyle w:val="Paragraphedeliste"/>
        <w:numPr>
          <w:ilvl w:val="0"/>
          <w:numId w:val="4"/>
        </w:numPr>
        <w:jc w:val="both"/>
        <w:rPr>
          <w:b/>
          <w:color w:val="auto"/>
          <w:sz w:val="20"/>
          <w:szCs w:val="20"/>
          <w:lang w:val="en-US"/>
        </w:rPr>
      </w:pPr>
      <w:r w:rsidRPr="00E7021A">
        <w:rPr>
          <w:b/>
          <w:color w:val="auto"/>
          <w:sz w:val="20"/>
          <w:szCs w:val="20"/>
          <w:lang w:val="en-US"/>
        </w:rPr>
        <w:t>Security</w:t>
      </w:r>
    </w:p>
    <w:p w14:paraId="0F380333" w14:textId="77777777" w:rsidR="00EE25EE" w:rsidRPr="00E7021A" w:rsidRDefault="00EE25EE" w:rsidP="00EE25EE">
      <w:pPr>
        <w:jc w:val="both"/>
        <w:rPr>
          <w:color w:val="auto"/>
          <w:sz w:val="20"/>
          <w:szCs w:val="20"/>
          <w:lang w:val="en-US"/>
        </w:rPr>
      </w:pPr>
    </w:p>
    <w:p w14:paraId="0F380334" w14:textId="6A0AED35" w:rsidR="00EE25EE" w:rsidRDefault="00EE25EE" w:rsidP="00EE25EE">
      <w:pPr>
        <w:jc w:val="both"/>
        <w:rPr>
          <w:color w:val="auto"/>
          <w:sz w:val="20"/>
          <w:szCs w:val="20"/>
          <w:lang w:val="en-US"/>
        </w:rPr>
      </w:pPr>
      <w:r w:rsidRPr="00C12FB0">
        <w:rPr>
          <w:color w:val="auto"/>
          <w:sz w:val="20"/>
          <w:szCs w:val="20"/>
          <w:lang w:val="en-US"/>
        </w:rPr>
        <w:t xml:space="preserve">Personal data must be protected by appropriate security measures to limit the risks of unauthorized access, destruction, </w:t>
      </w:r>
      <w:proofErr w:type="gramStart"/>
      <w:r w:rsidRPr="00C12FB0">
        <w:rPr>
          <w:color w:val="auto"/>
          <w:sz w:val="20"/>
          <w:szCs w:val="20"/>
          <w:lang w:val="en-US"/>
        </w:rPr>
        <w:t>alteration</w:t>
      </w:r>
      <w:proofErr w:type="gramEnd"/>
      <w:r w:rsidRPr="00C12FB0">
        <w:rPr>
          <w:color w:val="auto"/>
          <w:sz w:val="20"/>
          <w:szCs w:val="20"/>
          <w:lang w:val="en-US"/>
        </w:rPr>
        <w:t xml:space="preserve"> or loss. </w:t>
      </w:r>
    </w:p>
    <w:p w14:paraId="403B09DB" w14:textId="33F5FD36" w:rsidR="00C12FB0" w:rsidRDefault="00C12FB0" w:rsidP="00EE25EE">
      <w:pPr>
        <w:jc w:val="both"/>
        <w:rPr>
          <w:color w:val="auto"/>
          <w:sz w:val="20"/>
          <w:szCs w:val="20"/>
          <w:lang w:val="en-US"/>
        </w:rPr>
      </w:pPr>
    </w:p>
    <w:p w14:paraId="7EFFD49C" w14:textId="3B60CCA0" w:rsidR="00C12FB0" w:rsidRDefault="00C12FB0" w:rsidP="00EE25EE">
      <w:pPr>
        <w:jc w:val="both"/>
        <w:rPr>
          <w:color w:val="auto"/>
          <w:sz w:val="20"/>
          <w:szCs w:val="20"/>
          <w:lang w:val="en-US"/>
        </w:rPr>
      </w:pPr>
      <w:r>
        <w:rPr>
          <w:color w:val="auto"/>
          <w:sz w:val="20"/>
          <w:szCs w:val="20"/>
          <w:lang w:val="en-US"/>
        </w:rPr>
        <w:t>To</w:t>
      </w:r>
      <w:r w:rsidR="00EF02F9">
        <w:rPr>
          <w:color w:val="auto"/>
          <w:sz w:val="20"/>
          <w:szCs w:val="20"/>
          <w:lang w:val="en-US"/>
        </w:rPr>
        <w:t xml:space="preserve"> do so, a set of internal norms apply, </w:t>
      </w:r>
      <w:r>
        <w:rPr>
          <w:color w:val="auto"/>
          <w:sz w:val="20"/>
          <w:szCs w:val="20"/>
          <w:lang w:val="en-US"/>
        </w:rPr>
        <w:t>allowing to ensure the security and the confidentiality of personal</w:t>
      </w:r>
      <w:r w:rsidR="00687C8F">
        <w:rPr>
          <w:color w:val="auto"/>
          <w:sz w:val="20"/>
          <w:szCs w:val="20"/>
          <w:lang w:val="en-US"/>
        </w:rPr>
        <w:t xml:space="preserve"> data</w:t>
      </w:r>
      <w:r>
        <w:rPr>
          <w:color w:val="auto"/>
          <w:sz w:val="20"/>
          <w:szCs w:val="20"/>
          <w:lang w:val="en-US"/>
        </w:rPr>
        <w:t>:</w:t>
      </w:r>
    </w:p>
    <w:p w14:paraId="59A2FB48" w14:textId="781BB910" w:rsidR="00C12FB0" w:rsidRPr="00C12FB0" w:rsidRDefault="00C12FB0" w:rsidP="00C12FB0">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Proxima Nova"/>
          <w:sz w:val="18"/>
          <w:szCs w:val="20"/>
          <w:lang w:val="en-US"/>
        </w:rPr>
      </w:pPr>
      <w:r w:rsidRPr="00C12FB0">
        <w:rPr>
          <w:sz w:val="20"/>
          <w:lang w:val="en-US"/>
        </w:rPr>
        <w:t xml:space="preserve">The </w:t>
      </w:r>
      <w:r w:rsidR="007C3CE9">
        <w:rPr>
          <w:sz w:val="20"/>
          <w:lang w:val="en-US"/>
        </w:rPr>
        <w:t>usage C</w:t>
      </w:r>
      <w:r w:rsidR="00B21343" w:rsidRPr="00B21343">
        <w:rPr>
          <w:sz w:val="20"/>
          <w:lang w:val="en-US"/>
        </w:rPr>
        <w:t>harter for the IT and communication resources</w:t>
      </w:r>
      <w:r w:rsidRPr="00C12FB0">
        <w:rPr>
          <w:sz w:val="20"/>
          <w:lang w:val="en-US"/>
        </w:rPr>
        <w:t xml:space="preserve">, that </w:t>
      </w:r>
      <w:r>
        <w:rPr>
          <w:sz w:val="20"/>
          <w:lang w:val="en-US"/>
        </w:rPr>
        <w:t xml:space="preserve">requires to act in accordance with the </w:t>
      </w:r>
      <w:r w:rsidR="005C45A1">
        <w:rPr>
          <w:sz w:val="20"/>
          <w:lang w:val="en-US"/>
        </w:rPr>
        <w:t>regulation</w:t>
      </w:r>
      <w:r>
        <w:rPr>
          <w:sz w:val="20"/>
          <w:lang w:val="en-US"/>
        </w:rPr>
        <w:t xml:space="preserve"> and with the confidentiality </w:t>
      </w:r>
      <w:proofErr w:type="gramStart"/>
      <w:r>
        <w:rPr>
          <w:sz w:val="20"/>
          <w:lang w:val="en-US"/>
        </w:rPr>
        <w:t>rules;</w:t>
      </w:r>
      <w:proofErr w:type="gramEnd"/>
    </w:p>
    <w:p w14:paraId="741CB8DC" w14:textId="2E02B547" w:rsidR="00C12FB0" w:rsidRPr="00C12FB0" w:rsidRDefault="00C12FB0" w:rsidP="00C12FB0">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Proxima Nova"/>
          <w:sz w:val="18"/>
          <w:szCs w:val="20"/>
          <w:lang w:val="en-US"/>
        </w:rPr>
      </w:pPr>
      <w:r w:rsidRPr="00C12FB0">
        <w:rPr>
          <w:sz w:val="20"/>
          <w:lang w:val="en-US"/>
        </w:rPr>
        <w:t xml:space="preserve">The </w:t>
      </w:r>
      <w:r w:rsidR="0059679F">
        <w:rPr>
          <w:sz w:val="20"/>
          <w:lang w:val="en-US"/>
        </w:rPr>
        <w:t>Information Systems Security p</w:t>
      </w:r>
      <w:r w:rsidR="00BE5885" w:rsidRPr="00BE5885">
        <w:rPr>
          <w:sz w:val="20"/>
          <w:lang w:val="en-US"/>
        </w:rPr>
        <w:t>olicy</w:t>
      </w:r>
      <w:r>
        <w:rPr>
          <w:sz w:val="20"/>
          <w:lang w:val="en-US"/>
        </w:rPr>
        <w:t>, that defines the governance mode of t</w:t>
      </w:r>
      <w:r w:rsidR="00AC4097">
        <w:rPr>
          <w:sz w:val="20"/>
          <w:lang w:val="en-US"/>
        </w:rPr>
        <w:t xml:space="preserve">he security of information </w:t>
      </w:r>
      <w:proofErr w:type="gramStart"/>
      <w:r w:rsidR="00AC4097">
        <w:rPr>
          <w:sz w:val="20"/>
          <w:lang w:val="en-US"/>
        </w:rPr>
        <w:t>s</w:t>
      </w:r>
      <w:r>
        <w:rPr>
          <w:sz w:val="20"/>
          <w:lang w:val="en-US"/>
        </w:rPr>
        <w:t>ystems;</w:t>
      </w:r>
      <w:proofErr w:type="gramEnd"/>
    </w:p>
    <w:p w14:paraId="12010C89" w14:textId="4C82C3EB" w:rsidR="00C12FB0" w:rsidRPr="0099149F" w:rsidRDefault="00C12FB0" w:rsidP="00C12FB0">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sz w:val="20"/>
          <w:lang w:val="en-US"/>
        </w:rPr>
      </w:pPr>
      <w:r w:rsidRPr="00673B79">
        <w:rPr>
          <w:sz w:val="20"/>
          <w:lang w:val="en-US"/>
        </w:rPr>
        <w:t xml:space="preserve">The </w:t>
      </w:r>
      <w:r w:rsidR="004E5FAB" w:rsidRPr="004E5FAB">
        <w:rPr>
          <w:sz w:val="20"/>
          <w:lang w:val="en-US"/>
        </w:rPr>
        <w:t>Information Systems Security Reference System</w:t>
      </w:r>
      <w:r w:rsidRPr="00673B79">
        <w:rPr>
          <w:sz w:val="20"/>
          <w:lang w:val="en-US"/>
        </w:rPr>
        <w:t xml:space="preserve">, that enumerates, through 19 detailed themes, </w:t>
      </w:r>
      <w:r w:rsidR="00673B79" w:rsidRPr="00673B79">
        <w:rPr>
          <w:sz w:val="20"/>
          <w:lang w:val="en-US"/>
        </w:rPr>
        <w:t>the different requirements of the</w:t>
      </w:r>
      <w:r w:rsidR="001B74E0">
        <w:rPr>
          <w:sz w:val="20"/>
          <w:lang w:val="en-US"/>
        </w:rPr>
        <w:t xml:space="preserve"> </w:t>
      </w:r>
      <w:r w:rsidR="001B74E0">
        <w:rPr>
          <w:color w:val="auto"/>
          <w:sz w:val="20"/>
          <w:szCs w:val="20"/>
          <w:lang w:val="en-US"/>
        </w:rPr>
        <w:t>Company</w:t>
      </w:r>
      <w:r w:rsidR="00673B79" w:rsidRPr="00673B79">
        <w:rPr>
          <w:sz w:val="20"/>
          <w:lang w:val="en-US"/>
        </w:rPr>
        <w:t xml:space="preserve"> in te</w:t>
      </w:r>
      <w:r w:rsidR="002A35E7">
        <w:rPr>
          <w:sz w:val="20"/>
          <w:lang w:val="en-US"/>
        </w:rPr>
        <w:t xml:space="preserve">rms of security of information </w:t>
      </w:r>
      <w:proofErr w:type="gramStart"/>
      <w:r w:rsidR="002A35E7">
        <w:rPr>
          <w:sz w:val="20"/>
          <w:lang w:val="en-US"/>
        </w:rPr>
        <w:t>s</w:t>
      </w:r>
      <w:r w:rsidR="00673B79" w:rsidRPr="00673B79">
        <w:rPr>
          <w:sz w:val="20"/>
          <w:lang w:val="en-US"/>
        </w:rPr>
        <w:t>ystems</w:t>
      </w:r>
      <w:r w:rsidR="00673B79">
        <w:rPr>
          <w:sz w:val="20"/>
          <w:lang w:val="en-US"/>
        </w:rPr>
        <w:t>;</w:t>
      </w:r>
      <w:proofErr w:type="gramEnd"/>
    </w:p>
    <w:p w14:paraId="0F380335" w14:textId="361B03A7" w:rsidR="00EE25EE" w:rsidRPr="0099149F" w:rsidRDefault="00C12FB0" w:rsidP="00673B79">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sz w:val="20"/>
          <w:lang w:val="en-US"/>
        </w:rPr>
      </w:pPr>
      <w:r w:rsidRPr="00673B79">
        <w:rPr>
          <w:sz w:val="20"/>
          <w:lang w:val="en-US"/>
        </w:rPr>
        <w:t xml:space="preserve">The </w:t>
      </w:r>
      <w:r w:rsidR="00213096">
        <w:rPr>
          <w:sz w:val="20"/>
          <w:lang w:val="en-US"/>
        </w:rPr>
        <w:t>Information Protection p</w:t>
      </w:r>
      <w:r w:rsidR="0099149F" w:rsidRPr="0099149F">
        <w:rPr>
          <w:sz w:val="20"/>
          <w:lang w:val="en-US"/>
        </w:rPr>
        <w:t>olicy</w:t>
      </w:r>
      <w:r w:rsidR="00673B79" w:rsidRPr="00673B79">
        <w:rPr>
          <w:sz w:val="20"/>
          <w:lang w:val="en-US"/>
        </w:rPr>
        <w:t>, that presents the requirements relative to the pr</w:t>
      </w:r>
      <w:r w:rsidR="00673B79">
        <w:rPr>
          <w:sz w:val="20"/>
          <w:lang w:val="en-US"/>
        </w:rPr>
        <w:t xml:space="preserve">otection of confidentiality, </w:t>
      </w:r>
      <w:r w:rsidR="006E2139">
        <w:rPr>
          <w:sz w:val="20"/>
          <w:lang w:val="en-US"/>
        </w:rPr>
        <w:t>integrity</w:t>
      </w:r>
      <w:r w:rsidR="00673B79">
        <w:rPr>
          <w:sz w:val="20"/>
          <w:lang w:val="en-US"/>
        </w:rPr>
        <w:t xml:space="preserve"> and of the </w:t>
      </w:r>
      <w:r w:rsidR="0014588C">
        <w:rPr>
          <w:sz w:val="20"/>
          <w:lang w:val="en-US"/>
        </w:rPr>
        <w:t>availability</w:t>
      </w:r>
      <w:r w:rsidR="00673B79">
        <w:rPr>
          <w:sz w:val="20"/>
          <w:lang w:val="en-US"/>
        </w:rPr>
        <w:t xml:space="preserve"> of the information held and exchanged within the </w:t>
      </w:r>
      <w:r w:rsidR="001B74E0">
        <w:rPr>
          <w:color w:val="auto"/>
          <w:sz w:val="20"/>
          <w:szCs w:val="20"/>
          <w:lang w:val="en-US"/>
        </w:rPr>
        <w:t>Company</w:t>
      </w:r>
    </w:p>
    <w:p w14:paraId="0F380336" w14:textId="3C6C1DC5" w:rsidR="00EE25EE" w:rsidRPr="00E7021A" w:rsidRDefault="00EE25EE" w:rsidP="00EE25EE">
      <w:pPr>
        <w:jc w:val="both"/>
        <w:rPr>
          <w:color w:val="auto"/>
          <w:sz w:val="20"/>
          <w:szCs w:val="20"/>
          <w:lang w:val="en-US"/>
        </w:rPr>
      </w:pPr>
      <w:r w:rsidRPr="00C12FB0">
        <w:rPr>
          <w:color w:val="auto"/>
          <w:sz w:val="20"/>
          <w:szCs w:val="20"/>
          <w:lang w:val="en-US"/>
        </w:rPr>
        <w:t xml:space="preserve">When calling upon the services of a third party to process personal data,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C12FB0">
        <w:rPr>
          <w:color w:val="auto"/>
          <w:sz w:val="20"/>
          <w:szCs w:val="20"/>
          <w:lang w:val="en-US"/>
        </w:rPr>
        <w:t xml:space="preserve"> subsidiary makes sure that the latter offers sufficient guarantees as regards the security and confidentiality of data.</w:t>
      </w:r>
      <w:r w:rsidRPr="00E7021A">
        <w:rPr>
          <w:color w:val="auto"/>
          <w:sz w:val="20"/>
          <w:szCs w:val="20"/>
          <w:lang w:val="en-US"/>
        </w:rPr>
        <w:t xml:space="preserve"> </w:t>
      </w:r>
    </w:p>
    <w:p w14:paraId="0F380337" w14:textId="77777777" w:rsidR="00EE25EE" w:rsidRPr="00E7021A" w:rsidRDefault="00EE25EE" w:rsidP="00EE25EE">
      <w:pPr>
        <w:jc w:val="both"/>
        <w:rPr>
          <w:color w:val="auto"/>
          <w:sz w:val="20"/>
          <w:szCs w:val="20"/>
          <w:lang w:val="en-US"/>
        </w:rPr>
      </w:pPr>
    </w:p>
    <w:p w14:paraId="0F380338" w14:textId="77777777" w:rsidR="00EE25EE" w:rsidRPr="00E7021A" w:rsidRDefault="00EE25EE" w:rsidP="00EE25EE">
      <w:pPr>
        <w:pStyle w:val="Paragraphedeliste"/>
        <w:numPr>
          <w:ilvl w:val="0"/>
          <w:numId w:val="4"/>
        </w:numPr>
        <w:jc w:val="both"/>
        <w:rPr>
          <w:b/>
          <w:color w:val="auto"/>
          <w:sz w:val="20"/>
          <w:szCs w:val="20"/>
          <w:lang w:val="en-US"/>
        </w:rPr>
      </w:pPr>
      <w:r w:rsidRPr="00E7021A">
        <w:rPr>
          <w:b/>
          <w:color w:val="auto"/>
          <w:sz w:val="20"/>
          <w:szCs w:val="20"/>
          <w:lang w:val="en-US"/>
        </w:rPr>
        <w:t>Retention</w:t>
      </w:r>
    </w:p>
    <w:p w14:paraId="0F380339" w14:textId="77777777" w:rsidR="00EE25EE" w:rsidRPr="00E7021A" w:rsidRDefault="00EE25EE" w:rsidP="00EE25EE">
      <w:pPr>
        <w:jc w:val="both"/>
        <w:rPr>
          <w:color w:val="auto"/>
          <w:sz w:val="20"/>
          <w:szCs w:val="20"/>
          <w:lang w:val="en-US"/>
        </w:rPr>
      </w:pPr>
    </w:p>
    <w:p w14:paraId="0F38033A" w14:textId="77777777" w:rsidR="00EE25EE" w:rsidRPr="00E7021A" w:rsidRDefault="00EE25EE" w:rsidP="00EE25EE">
      <w:pPr>
        <w:jc w:val="both"/>
        <w:rPr>
          <w:color w:val="auto"/>
          <w:sz w:val="20"/>
          <w:szCs w:val="20"/>
          <w:lang w:val="en-US"/>
        </w:rPr>
      </w:pPr>
      <w:r w:rsidRPr="00E7021A">
        <w:rPr>
          <w:color w:val="auto"/>
          <w:sz w:val="20"/>
          <w:szCs w:val="20"/>
          <w:lang w:val="en-US"/>
        </w:rPr>
        <w:t xml:space="preserve">Personal data must be retained only for a reasonable and not excessive </w:t>
      </w:r>
      <w:proofErr w:type="gramStart"/>
      <w:r w:rsidRPr="00E7021A">
        <w:rPr>
          <w:color w:val="auto"/>
          <w:sz w:val="20"/>
          <w:szCs w:val="20"/>
          <w:lang w:val="en-US"/>
        </w:rPr>
        <w:t>period of time</w:t>
      </w:r>
      <w:proofErr w:type="gramEnd"/>
      <w:r w:rsidRPr="00E7021A">
        <w:rPr>
          <w:color w:val="auto"/>
          <w:sz w:val="20"/>
          <w:szCs w:val="20"/>
          <w:lang w:val="en-US"/>
        </w:rPr>
        <w:t xml:space="preserve"> with regard to the purpose of the processing. </w:t>
      </w:r>
    </w:p>
    <w:p w14:paraId="0F38033B" w14:textId="77777777" w:rsidR="00EE25EE" w:rsidRPr="00E7021A" w:rsidRDefault="00EE25EE" w:rsidP="00EE25EE">
      <w:pPr>
        <w:jc w:val="both"/>
        <w:rPr>
          <w:color w:val="auto"/>
          <w:sz w:val="20"/>
          <w:szCs w:val="20"/>
          <w:lang w:val="en-US"/>
        </w:rPr>
      </w:pPr>
    </w:p>
    <w:p w14:paraId="0F38033C" w14:textId="77777777" w:rsidR="00EE25EE" w:rsidRPr="00E7021A" w:rsidRDefault="00EE25EE" w:rsidP="00EE25EE">
      <w:pPr>
        <w:jc w:val="both"/>
        <w:rPr>
          <w:color w:val="auto"/>
          <w:sz w:val="20"/>
          <w:szCs w:val="20"/>
          <w:lang w:val="en-US"/>
        </w:rPr>
      </w:pPr>
      <w:r w:rsidRPr="00E7021A">
        <w:rPr>
          <w:color w:val="auto"/>
          <w:sz w:val="20"/>
          <w:szCs w:val="20"/>
          <w:lang w:val="en-US"/>
        </w:rPr>
        <w:t xml:space="preserve">When the retention period expires, the data is destroyed, </w:t>
      </w:r>
      <w:proofErr w:type="gramStart"/>
      <w:r w:rsidRPr="00E7021A">
        <w:rPr>
          <w:color w:val="auto"/>
          <w:sz w:val="20"/>
          <w:szCs w:val="20"/>
          <w:lang w:val="en-US"/>
        </w:rPr>
        <w:t>anonymized</w:t>
      </w:r>
      <w:proofErr w:type="gramEnd"/>
      <w:r w:rsidRPr="00E7021A">
        <w:rPr>
          <w:color w:val="auto"/>
          <w:sz w:val="20"/>
          <w:szCs w:val="20"/>
          <w:lang w:val="en-US"/>
        </w:rPr>
        <w:t xml:space="preserve"> or archived.</w:t>
      </w:r>
    </w:p>
    <w:p w14:paraId="0F38033D" w14:textId="77777777" w:rsidR="00EE25EE" w:rsidRPr="00E7021A" w:rsidRDefault="00EE25EE" w:rsidP="00EE25EE">
      <w:pPr>
        <w:jc w:val="both"/>
        <w:rPr>
          <w:color w:val="auto"/>
          <w:sz w:val="20"/>
          <w:szCs w:val="20"/>
          <w:lang w:val="en-US"/>
        </w:rPr>
      </w:pPr>
    </w:p>
    <w:p w14:paraId="0F38033E" w14:textId="77777777" w:rsidR="00EE25EE" w:rsidRPr="00E7021A" w:rsidRDefault="00EE25EE" w:rsidP="00EE25EE">
      <w:pPr>
        <w:pStyle w:val="Paragraphedeliste"/>
        <w:numPr>
          <w:ilvl w:val="0"/>
          <w:numId w:val="4"/>
        </w:numPr>
        <w:jc w:val="both"/>
        <w:rPr>
          <w:b/>
          <w:color w:val="auto"/>
          <w:sz w:val="20"/>
          <w:szCs w:val="20"/>
          <w:lang w:val="en-US"/>
        </w:rPr>
      </w:pPr>
      <w:r w:rsidRPr="00E7021A">
        <w:rPr>
          <w:b/>
          <w:color w:val="auto"/>
          <w:sz w:val="20"/>
          <w:szCs w:val="20"/>
          <w:lang w:val="en-US"/>
        </w:rPr>
        <w:t>International transfers</w:t>
      </w:r>
      <w:r w:rsidR="00E7021A">
        <w:rPr>
          <w:rStyle w:val="Appelnotedebasdep"/>
          <w:b/>
          <w:color w:val="auto"/>
          <w:sz w:val="20"/>
          <w:szCs w:val="20"/>
          <w:lang w:val="en-US"/>
        </w:rPr>
        <w:footnoteReference w:id="4"/>
      </w:r>
      <w:r w:rsidRPr="00E7021A">
        <w:rPr>
          <w:b/>
          <w:color w:val="auto"/>
          <w:sz w:val="20"/>
          <w:szCs w:val="20"/>
          <w:lang w:val="en-US"/>
        </w:rPr>
        <w:t xml:space="preserve"> of personal data</w:t>
      </w:r>
    </w:p>
    <w:p w14:paraId="0F38033F" w14:textId="77777777" w:rsidR="00EE25EE" w:rsidRPr="00E7021A" w:rsidRDefault="00EE25EE" w:rsidP="00EE25EE">
      <w:pPr>
        <w:jc w:val="both"/>
        <w:rPr>
          <w:color w:val="auto"/>
          <w:sz w:val="20"/>
          <w:szCs w:val="20"/>
          <w:lang w:val="en-US"/>
        </w:rPr>
      </w:pPr>
    </w:p>
    <w:p w14:paraId="0F380340" w14:textId="1AD4B3D3" w:rsidR="00EE25EE" w:rsidRPr="00E7021A" w:rsidRDefault="00730281" w:rsidP="00EE25EE">
      <w:pPr>
        <w:jc w:val="both"/>
        <w:rPr>
          <w:color w:val="auto"/>
          <w:sz w:val="20"/>
          <w:szCs w:val="20"/>
          <w:lang w:val="en-US"/>
        </w:rPr>
      </w:pPr>
      <w:proofErr w:type="spellStart"/>
      <w:r w:rsidRPr="00E7021A">
        <w:rPr>
          <w:color w:val="auto"/>
          <w:sz w:val="20"/>
          <w:szCs w:val="20"/>
          <w:lang w:val="en-US"/>
        </w:rPr>
        <w:t>Total</w:t>
      </w:r>
      <w:r>
        <w:rPr>
          <w:color w:val="auto"/>
          <w:sz w:val="20"/>
          <w:szCs w:val="20"/>
          <w:lang w:val="en-US"/>
        </w:rPr>
        <w:t>Energies</w:t>
      </w:r>
      <w:proofErr w:type="spellEnd"/>
      <w:r w:rsidR="00EE25EE" w:rsidRPr="00E7021A">
        <w:rPr>
          <w:color w:val="auto"/>
          <w:sz w:val="20"/>
          <w:szCs w:val="20"/>
          <w:lang w:val="en-US"/>
        </w:rPr>
        <w:t xml:space="preserve"> does not transfer personal data originating from a country of the EEA directly to a</w:t>
      </w:r>
      <w:r>
        <w:rPr>
          <w:color w:val="auto"/>
          <w:sz w:val="20"/>
          <w:szCs w:val="20"/>
          <w:lang w:val="en-US"/>
        </w:rPr>
        <w:t xml:space="preserve"> </w:t>
      </w:r>
      <w:proofErr w:type="spellStart"/>
      <w:r w:rsidRPr="00E7021A">
        <w:rPr>
          <w:color w:val="auto"/>
          <w:sz w:val="20"/>
          <w:szCs w:val="20"/>
          <w:lang w:val="en-US"/>
        </w:rPr>
        <w:t>Total</w:t>
      </w:r>
      <w:r>
        <w:rPr>
          <w:color w:val="auto"/>
          <w:sz w:val="20"/>
          <w:szCs w:val="20"/>
          <w:lang w:val="en-US"/>
        </w:rPr>
        <w:t>Energies</w:t>
      </w:r>
      <w:proofErr w:type="spellEnd"/>
      <w:r w:rsidR="00EE25EE" w:rsidRPr="00E7021A">
        <w:rPr>
          <w:color w:val="auto"/>
          <w:sz w:val="20"/>
          <w:szCs w:val="20"/>
          <w:lang w:val="en-US"/>
        </w:rPr>
        <w:t xml:space="preserve"> subsidiary located in a third country which does not provide an adequate level of protection, unless such subsidiary has formally subscribed to the BCRs or uses another legal instrument recognized by the European Commission. </w:t>
      </w:r>
    </w:p>
    <w:p w14:paraId="0F380341" w14:textId="77777777" w:rsidR="00EE25EE" w:rsidRPr="00E7021A" w:rsidRDefault="00EE25EE" w:rsidP="00EE25EE">
      <w:pPr>
        <w:jc w:val="both"/>
        <w:rPr>
          <w:color w:val="auto"/>
          <w:sz w:val="20"/>
          <w:szCs w:val="20"/>
          <w:lang w:val="en-US"/>
        </w:rPr>
      </w:pPr>
    </w:p>
    <w:p w14:paraId="0F380342" w14:textId="0F705B8A" w:rsidR="00EE25EE" w:rsidRPr="00E7021A" w:rsidRDefault="00730281" w:rsidP="00EE25EE">
      <w:pPr>
        <w:jc w:val="both"/>
        <w:rPr>
          <w:color w:val="auto"/>
          <w:sz w:val="20"/>
          <w:szCs w:val="20"/>
          <w:lang w:val="en-US"/>
        </w:rPr>
      </w:pPr>
      <w:proofErr w:type="spellStart"/>
      <w:r w:rsidRPr="00E7021A">
        <w:rPr>
          <w:color w:val="auto"/>
          <w:sz w:val="20"/>
          <w:szCs w:val="20"/>
          <w:lang w:val="en-US"/>
        </w:rPr>
        <w:t>Total</w:t>
      </w:r>
      <w:r>
        <w:rPr>
          <w:color w:val="auto"/>
          <w:sz w:val="20"/>
          <w:szCs w:val="20"/>
          <w:lang w:val="en-US"/>
        </w:rPr>
        <w:t>Energies</w:t>
      </w:r>
      <w:proofErr w:type="spellEnd"/>
      <w:r w:rsidR="00EE25EE" w:rsidRPr="00E7021A">
        <w:rPr>
          <w:color w:val="auto"/>
          <w:sz w:val="20"/>
          <w:szCs w:val="20"/>
          <w:lang w:val="en-US"/>
        </w:rPr>
        <w:t xml:space="preserve"> does not transfer personal data originating from the EEA directly to a company not belonging to the</w:t>
      </w:r>
      <w:r w:rsidR="001B74E0">
        <w:rPr>
          <w:color w:val="auto"/>
          <w:sz w:val="20"/>
          <w:szCs w:val="20"/>
          <w:lang w:val="en-US"/>
        </w:rPr>
        <w:t xml:space="preserve"> </w:t>
      </w:r>
      <w:r w:rsidR="001B74E0">
        <w:rPr>
          <w:color w:val="auto"/>
          <w:sz w:val="20"/>
          <w:szCs w:val="20"/>
          <w:lang w:val="en-US"/>
        </w:rPr>
        <w:t>Company</w:t>
      </w:r>
      <w:r w:rsidR="00EE25EE" w:rsidRPr="00E7021A">
        <w:rPr>
          <w:color w:val="auto"/>
          <w:sz w:val="20"/>
          <w:szCs w:val="20"/>
          <w:lang w:val="en-US"/>
        </w:rPr>
        <w:t xml:space="preserve"> located in a country which does not provide an adequate level of data protection (data controller or processor) without a legal basis under applicable law and instruments providing for sufficient safeguards, such as the standard contractual clauses. </w:t>
      </w:r>
    </w:p>
    <w:p w14:paraId="0F380343" w14:textId="77777777" w:rsidR="00EE25EE" w:rsidRPr="00E7021A" w:rsidRDefault="00EE25EE" w:rsidP="00EE25EE">
      <w:pPr>
        <w:jc w:val="both"/>
        <w:rPr>
          <w:color w:val="auto"/>
          <w:sz w:val="20"/>
          <w:szCs w:val="20"/>
          <w:lang w:val="en-US"/>
        </w:rPr>
      </w:pPr>
    </w:p>
    <w:p w14:paraId="0F380344" w14:textId="3896C68F" w:rsidR="00EE25EE" w:rsidRPr="00E7021A" w:rsidRDefault="00EE25EE" w:rsidP="00EE25EE">
      <w:pPr>
        <w:jc w:val="both"/>
        <w:rPr>
          <w:color w:val="auto"/>
          <w:sz w:val="20"/>
          <w:szCs w:val="20"/>
          <w:lang w:val="en-US"/>
        </w:rPr>
      </w:pPr>
      <w:r w:rsidRPr="00E7021A">
        <w:rPr>
          <w:color w:val="auto"/>
          <w:sz w:val="20"/>
          <w:szCs w:val="20"/>
          <w:lang w:val="en-US"/>
        </w:rPr>
        <w:t>Similarly, where a data importer further transfers personal data originating from the EEA to a company not belonging to the</w:t>
      </w:r>
      <w:r w:rsidR="001B74E0">
        <w:rPr>
          <w:color w:val="auto"/>
          <w:sz w:val="20"/>
          <w:szCs w:val="20"/>
          <w:lang w:val="en-US"/>
        </w:rPr>
        <w:t xml:space="preserve"> </w:t>
      </w:r>
      <w:r w:rsidR="001B74E0">
        <w:rPr>
          <w:color w:val="auto"/>
          <w:sz w:val="20"/>
          <w:szCs w:val="20"/>
          <w:lang w:val="en-US"/>
        </w:rPr>
        <w:t>Company</w:t>
      </w:r>
      <w:r w:rsidRPr="00E7021A">
        <w:rPr>
          <w:color w:val="auto"/>
          <w:sz w:val="20"/>
          <w:szCs w:val="20"/>
          <w:lang w:val="en-US"/>
        </w:rPr>
        <w:t xml:space="preserve"> (data controller or processor) located in a country which does not provide an adequate level of data protection, the data importer shall enter into an agreement with this company whereby it commits to observe the principles of BCRs.</w:t>
      </w:r>
    </w:p>
    <w:p w14:paraId="0F380345" w14:textId="77777777" w:rsidR="00EE25EE" w:rsidRPr="00E7021A" w:rsidRDefault="00EE25EE" w:rsidP="00EE25EE">
      <w:pPr>
        <w:jc w:val="both"/>
        <w:rPr>
          <w:color w:val="auto"/>
          <w:sz w:val="20"/>
          <w:szCs w:val="20"/>
          <w:lang w:val="en-US"/>
        </w:rPr>
      </w:pPr>
    </w:p>
    <w:p w14:paraId="0F380346" w14:textId="77777777" w:rsidR="00EE25EE" w:rsidRPr="00E7021A" w:rsidRDefault="00EE25EE" w:rsidP="00EE25EE">
      <w:pPr>
        <w:pStyle w:val="Paragraphedeliste"/>
        <w:numPr>
          <w:ilvl w:val="0"/>
          <w:numId w:val="5"/>
        </w:numPr>
        <w:jc w:val="both"/>
        <w:rPr>
          <w:b/>
          <w:color w:val="auto"/>
          <w:sz w:val="20"/>
          <w:szCs w:val="20"/>
          <w:lang w:val="en-US"/>
        </w:rPr>
      </w:pPr>
      <w:r w:rsidRPr="00E7021A">
        <w:rPr>
          <w:b/>
          <w:color w:val="auto"/>
          <w:sz w:val="20"/>
          <w:szCs w:val="20"/>
          <w:lang w:val="en-US"/>
        </w:rPr>
        <w:t>Data subject rights</w:t>
      </w:r>
    </w:p>
    <w:p w14:paraId="0F380347" w14:textId="77777777" w:rsidR="00EE25EE" w:rsidRPr="00E7021A" w:rsidRDefault="00EE25EE" w:rsidP="00EE25EE">
      <w:pPr>
        <w:rPr>
          <w:color w:val="auto"/>
          <w:sz w:val="20"/>
          <w:szCs w:val="20"/>
          <w:lang w:val="en-US"/>
        </w:rPr>
      </w:pPr>
    </w:p>
    <w:p w14:paraId="0F380348" w14:textId="4B581C28" w:rsidR="00EE25EE" w:rsidRPr="00E7021A" w:rsidRDefault="00EE25EE" w:rsidP="00EE25EE">
      <w:pPr>
        <w:jc w:val="both"/>
        <w:rPr>
          <w:color w:val="auto"/>
          <w:sz w:val="20"/>
          <w:szCs w:val="20"/>
          <w:lang w:val="en-US"/>
        </w:rPr>
      </w:pPr>
      <w:r w:rsidRPr="00E7021A">
        <w:rPr>
          <w:color w:val="auto"/>
          <w:sz w:val="20"/>
          <w:szCs w:val="20"/>
          <w:lang w:val="en-US"/>
        </w:rPr>
        <w:t xml:space="preserve">Under </w:t>
      </w:r>
      <w:r w:rsidR="007F6FD7">
        <w:rPr>
          <w:color w:val="auto"/>
          <w:sz w:val="20"/>
          <w:szCs w:val="20"/>
          <w:lang w:val="en-US"/>
        </w:rPr>
        <w:t>our</w:t>
      </w:r>
      <w:r w:rsidRPr="00E7021A">
        <w:rPr>
          <w:color w:val="auto"/>
          <w:sz w:val="20"/>
          <w:szCs w:val="20"/>
          <w:lang w:val="en-US"/>
        </w:rPr>
        <w:t xml:space="preserve"> BCRs, data subjects whose personal data are processed have the following rights: </w:t>
      </w:r>
    </w:p>
    <w:p w14:paraId="0F380349" w14:textId="77777777" w:rsidR="00EE25EE" w:rsidRPr="00E7021A" w:rsidRDefault="00EE25EE" w:rsidP="00EE25EE">
      <w:pPr>
        <w:jc w:val="both"/>
        <w:rPr>
          <w:color w:val="auto"/>
          <w:sz w:val="20"/>
          <w:szCs w:val="20"/>
          <w:lang w:val="en-US"/>
        </w:rPr>
      </w:pPr>
    </w:p>
    <w:p w14:paraId="0F38034A" w14:textId="77777777" w:rsidR="00EE25EE" w:rsidRPr="00E7021A" w:rsidRDefault="00EE25EE" w:rsidP="00EE25EE">
      <w:pPr>
        <w:pStyle w:val="Paragraphedeliste"/>
        <w:numPr>
          <w:ilvl w:val="0"/>
          <w:numId w:val="4"/>
        </w:numPr>
        <w:jc w:val="both"/>
        <w:rPr>
          <w:color w:val="auto"/>
          <w:sz w:val="20"/>
          <w:szCs w:val="20"/>
          <w:lang w:val="en-US"/>
        </w:rPr>
      </w:pPr>
      <w:r w:rsidRPr="00E7021A">
        <w:rPr>
          <w:color w:val="auto"/>
          <w:sz w:val="20"/>
          <w:szCs w:val="20"/>
          <w:lang w:val="en-US"/>
        </w:rPr>
        <w:t>Right of access to the data</w:t>
      </w:r>
    </w:p>
    <w:p w14:paraId="0F38034B" w14:textId="77777777" w:rsidR="00EE25EE" w:rsidRPr="00E7021A" w:rsidRDefault="00EE25EE" w:rsidP="00EE25EE">
      <w:pPr>
        <w:jc w:val="both"/>
        <w:rPr>
          <w:color w:val="auto"/>
          <w:sz w:val="20"/>
          <w:szCs w:val="20"/>
          <w:lang w:val="en-US"/>
        </w:rPr>
      </w:pPr>
    </w:p>
    <w:p w14:paraId="0F38034C" w14:textId="77777777" w:rsidR="00EE25EE" w:rsidRPr="00E7021A" w:rsidRDefault="00EE25EE" w:rsidP="00EE25EE">
      <w:pPr>
        <w:pStyle w:val="Paragraphedeliste"/>
        <w:numPr>
          <w:ilvl w:val="0"/>
          <w:numId w:val="4"/>
        </w:numPr>
        <w:jc w:val="both"/>
        <w:rPr>
          <w:color w:val="auto"/>
          <w:sz w:val="20"/>
          <w:szCs w:val="20"/>
          <w:lang w:val="en-US"/>
        </w:rPr>
      </w:pPr>
      <w:r w:rsidRPr="00E7021A">
        <w:rPr>
          <w:color w:val="auto"/>
          <w:sz w:val="20"/>
          <w:szCs w:val="20"/>
          <w:lang w:val="en-US"/>
        </w:rPr>
        <w:lastRenderedPageBreak/>
        <w:t>Right to rectify, erase and lock data</w:t>
      </w:r>
    </w:p>
    <w:p w14:paraId="0F38034D" w14:textId="77777777" w:rsidR="00EE25EE" w:rsidRPr="00E7021A" w:rsidRDefault="00EE25EE" w:rsidP="00EE25EE">
      <w:pPr>
        <w:jc w:val="both"/>
        <w:rPr>
          <w:color w:val="auto"/>
          <w:sz w:val="20"/>
          <w:szCs w:val="20"/>
          <w:lang w:val="en-US"/>
        </w:rPr>
      </w:pPr>
    </w:p>
    <w:p w14:paraId="0F38034E" w14:textId="77777777" w:rsidR="00EE25EE" w:rsidRPr="00E7021A" w:rsidRDefault="00EE25EE" w:rsidP="00EE25EE">
      <w:pPr>
        <w:pStyle w:val="Paragraphedeliste"/>
        <w:numPr>
          <w:ilvl w:val="0"/>
          <w:numId w:val="4"/>
        </w:numPr>
        <w:jc w:val="both"/>
        <w:rPr>
          <w:color w:val="auto"/>
          <w:sz w:val="20"/>
          <w:szCs w:val="20"/>
          <w:lang w:val="en-US"/>
        </w:rPr>
      </w:pPr>
      <w:r w:rsidRPr="00E7021A">
        <w:rPr>
          <w:color w:val="auto"/>
          <w:sz w:val="20"/>
          <w:szCs w:val="20"/>
          <w:lang w:val="en-US"/>
        </w:rPr>
        <w:t>Right to object to the processing</w:t>
      </w:r>
    </w:p>
    <w:p w14:paraId="0F38034F" w14:textId="77777777" w:rsidR="00EE25EE" w:rsidRPr="00E7021A" w:rsidRDefault="00EE25EE" w:rsidP="00EE25EE">
      <w:pPr>
        <w:pStyle w:val="Paragraphedeliste"/>
        <w:rPr>
          <w:color w:val="auto"/>
          <w:sz w:val="20"/>
          <w:szCs w:val="20"/>
          <w:lang w:val="en-US"/>
        </w:rPr>
      </w:pPr>
    </w:p>
    <w:p w14:paraId="0F380350" w14:textId="77777777" w:rsidR="00EE25EE" w:rsidRPr="00E7021A" w:rsidRDefault="00EE25EE" w:rsidP="00EE25EE">
      <w:pPr>
        <w:pStyle w:val="Paragraphedeliste"/>
        <w:numPr>
          <w:ilvl w:val="0"/>
          <w:numId w:val="4"/>
        </w:numPr>
        <w:jc w:val="both"/>
        <w:rPr>
          <w:color w:val="auto"/>
          <w:sz w:val="20"/>
          <w:szCs w:val="20"/>
          <w:lang w:val="en-US"/>
        </w:rPr>
      </w:pPr>
      <w:r w:rsidRPr="00E7021A">
        <w:rPr>
          <w:color w:val="auto"/>
          <w:sz w:val="20"/>
          <w:szCs w:val="20"/>
          <w:lang w:val="en-US"/>
        </w:rPr>
        <w:t>Right to limit the processing</w:t>
      </w:r>
    </w:p>
    <w:p w14:paraId="0F380351" w14:textId="77777777" w:rsidR="00EE25EE" w:rsidRPr="00E7021A" w:rsidRDefault="00EE25EE" w:rsidP="00EE25EE">
      <w:pPr>
        <w:jc w:val="both"/>
        <w:rPr>
          <w:color w:val="auto"/>
          <w:sz w:val="20"/>
          <w:szCs w:val="20"/>
          <w:lang w:val="en-US"/>
        </w:rPr>
      </w:pPr>
    </w:p>
    <w:p w14:paraId="0F380352" w14:textId="77777777" w:rsidR="00EE25EE" w:rsidRPr="00E7021A" w:rsidRDefault="00EE25EE" w:rsidP="00EE25EE">
      <w:pPr>
        <w:jc w:val="both"/>
        <w:rPr>
          <w:i/>
          <w:color w:val="auto"/>
          <w:sz w:val="20"/>
          <w:szCs w:val="20"/>
          <w:lang w:val="en-US"/>
        </w:rPr>
      </w:pPr>
      <w:r w:rsidRPr="00E7021A">
        <w:rPr>
          <w:i/>
          <w:color w:val="auto"/>
          <w:sz w:val="20"/>
          <w:szCs w:val="20"/>
          <w:lang w:val="en-US"/>
        </w:rPr>
        <w:t>[A comprehensive list of the rights granted by the BCRs is detailed in APPENDIX 1 hereafter].</w:t>
      </w:r>
    </w:p>
    <w:p w14:paraId="0F380353" w14:textId="77777777" w:rsidR="00EE25EE" w:rsidRPr="00E7021A" w:rsidRDefault="00EE25EE" w:rsidP="00EE25EE">
      <w:pPr>
        <w:jc w:val="both"/>
        <w:rPr>
          <w:i/>
          <w:color w:val="auto"/>
          <w:sz w:val="20"/>
          <w:szCs w:val="20"/>
          <w:lang w:val="en-US"/>
        </w:rPr>
      </w:pPr>
    </w:p>
    <w:p w14:paraId="0F380354" w14:textId="4D4FD4B2" w:rsidR="00EE25EE" w:rsidRPr="00E7021A" w:rsidRDefault="00EE25EE" w:rsidP="00EE25EE">
      <w:pPr>
        <w:jc w:val="both"/>
        <w:rPr>
          <w:color w:val="auto"/>
          <w:sz w:val="20"/>
          <w:szCs w:val="20"/>
          <w:lang w:val="en-US"/>
        </w:rPr>
      </w:pPr>
      <w:r w:rsidRPr="00E7021A">
        <w:rPr>
          <w:color w:val="auto"/>
          <w:sz w:val="20"/>
          <w:szCs w:val="20"/>
          <w:lang w:val="en-US"/>
        </w:rPr>
        <w:t xml:space="preserve">Data subjects may exercise these rights by submitting a request using the contact details provided in the legal notice concerning the processing of their data.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subsidiaries undertake to give replies within </w:t>
      </w:r>
      <w:r w:rsidR="009A1DB2">
        <w:rPr>
          <w:color w:val="auto"/>
          <w:sz w:val="20"/>
          <w:szCs w:val="20"/>
          <w:lang w:val="en-US"/>
        </w:rPr>
        <w:t xml:space="preserve">the legal deadline </w:t>
      </w:r>
      <w:r w:rsidRPr="00E7021A">
        <w:rPr>
          <w:color w:val="auto"/>
          <w:sz w:val="20"/>
          <w:szCs w:val="20"/>
          <w:lang w:val="en-US"/>
        </w:rPr>
        <w:t>about queries concerning the processing outside the EEA.</w:t>
      </w:r>
    </w:p>
    <w:p w14:paraId="0F380355" w14:textId="77777777" w:rsidR="00EE25EE" w:rsidRPr="00E7021A" w:rsidRDefault="00EE25EE" w:rsidP="00EE25EE">
      <w:pPr>
        <w:jc w:val="both"/>
        <w:rPr>
          <w:i/>
          <w:color w:val="auto"/>
          <w:sz w:val="20"/>
          <w:szCs w:val="20"/>
          <w:lang w:val="en-US"/>
        </w:rPr>
      </w:pPr>
    </w:p>
    <w:p w14:paraId="0F380356" w14:textId="1CC74CD0" w:rsidR="00EE25EE" w:rsidRPr="00E7021A" w:rsidRDefault="00EE25EE" w:rsidP="00EE25EE">
      <w:pPr>
        <w:jc w:val="both"/>
        <w:rPr>
          <w:color w:val="auto"/>
          <w:sz w:val="20"/>
          <w:szCs w:val="20"/>
          <w:lang w:val="en-US"/>
        </w:rPr>
      </w:pPr>
      <w:r w:rsidRPr="00E7021A">
        <w:rPr>
          <w:color w:val="auto"/>
          <w:sz w:val="20"/>
          <w:szCs w:val="20"/>
          <w:lang w:val="en-US"/>
        </w:rPr>
        <w:t>Moreover, if data subjects believe that a</w:t>
      </w:r>
      <w:r w:rsidR="00730281">
        <w:rPr>
          <w:color w:val="auto"/>
          <w:sz w:val="20"/>
          <w:szCs w:val="20"/>
          <w:lang w:val="en-US"/>
        </w:rPr>
        <w:t xml:space="preserve">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subsidiary has failed to observe </w:t>
      </w:r>
      <w:r w:rsidR="00FD40B4">
        <w:rPr>
          <w:color w:val="auto"/>
          <w:sz w:val="20"/>
          <w:szCs w:val="20"/>
          <w:lang w:val="en-US"/>
        </w:rPr>
        <w:t>the</w:t>
      </w:r>
      <w:r w:rsidRPr="00E7021A">
        <w:rPr>
          <w:color w:val="auto"/>
          <w:sz w:val="20"/>
          <w:szCs w:val="20"/>
          <w:lang w:val="en-US"/>
        </w:rPr>
        <w:t xml:space="preserve"> BCRs, they have the right to lodge a complaint </w:t>
      </w:r>
      <w:r w:rsidRPr="00E7021A">
        <w:rPr>
          <w:sz w:val="20"/>
          <w:szCs w:val="20"/>
          <w:lang w:val="en-GB"/>
        </w:rPr>
        <w:t xml:space="preserve">by sending: </w:t>
      </w:r>
    </w:p>
    <w:p w14:paraId="0F380357" w14:textId="77777777" w:rsidR="00EE25EE" w:rsidRPr="00E7021A" w:rsidRDefault="00EE25EE" w:rsidP="00EE25EE">
      <w:pPr>
        <w:pStyle w:val="Sansinterligne"/>
        <w:jc w:val="both"/>
        <w:rPr>
          <w:rFonts w:ascii="Arial" w:hAnsi="Arial" w:cs="Arial"/>
          <w:sz w:val="20"/>
          <w:szCs w:val="20"/>
          <w:lang w:val="en-GB"/>
        </w:rPr>
      </w:pPr>
    </w:p>
    <w:p w14:paraId="0F380358" w14:textId="245D2A90" w:rsidR="00EE25EE" w:rsidRPr="00E7021A" w:rsidRDefault="00EE25EE" w:rsidP="00EE25EE">
      <w:pPr>
        <w:pStyle w:val="Sansinterligne"/>
        <w:numPr>
          <w:ilvl w:val="0"/>
          <w:numId w:val="2"/>
        </w:numPr>
        <w:jc w:val="both"/>
        <w:rPr>
          <w:rFonts w:ascii="Arial" w:hAnsi="Arial" w:cs="Arial"/>
          <w:sz w:val="20"/>
          <w:szCs w:val="20"/>
          <w:lang w:val="en-GB"/>
        </w:rPr>
      </w:pPr>
      <w:r w:rsidRPr="00E7021A">
        <w:rPr>
          <w:rFonts w:ascii="Arial" w:hAnsi="Arial" w:cs="Arial"/>
          <w:sz w:val="20"/>
          <w:szCs w:val="20"/>
          <w:lang w:val="en-GB"/>
        </w:rPr>
        <w:t xml:space="preserve">An e-mail to: </w:t>
      </w:r>
      <w:hyperlink r:id="rId11" w:history="1">
        <w:r w:rsidR="00730281" w:rsidRPr="00D3286A">
          <w:rPr>
            <w:rStyle w:val="Lienhypertexte"/>
            <w:rFonts w:ascii="Arial" w:hAnsi="Arial" w:cs="Arial"/>
            <w:sz w:val="20"/>
            <w:szCs w:val="20"/>
            <w:lang w:val="en-US"/>
          </w:rPr>
          <w:t>data-protection@totalenergies.com</w:t>
        </w:r>
      </w:hyperlink>
    </w:p>
    <w:p w14:paraId="0F380359" w14:textId="77777777" w:rsidR="00EE25EE" w:rsidRPr="00E7021A" w:rsidRDefault="00EE25EE" w:rsidP="00EE25EE">
      <w:pPr>
        <w:pStyle w:val="Sansinterligne"/>
        <w:jc w:val="both"/>
        <w:rPr>
          <w:rFonts w:ascii="Arial" w:hAnsi="Arial" w:cs="Arial"/>
          <w:sz w:val="20"/>
          <w:szCs w:val="20"/>
          <w:lang w:val="en-GB"/>
        </w:rPr>
      </w:pPr>
    </w:p>
    <w:p w14:paraId="0F38035A" w14:textId="77777777" w:rsidR="00EE25EE" w:rsidRPr="00E7021A" w:rsidRDefault="00EE25EE" w:rsidP="00EE25EE">
      <w:pPr>
        <w:pStyle w:val="Sansinterligne"/>
        <w:ind w:firstLine="720"/>
        <w:jc w:val="both"/>
        <w:rPr>
          <w:rFonts w:ascii="Arial" w:hAnsi="Arial" w:cs="Arial"/>
          <w:sz w:val="20"/>
          <w:szCs w:val="20"/>
          <w:lang w:val="en-GB"/>
        </w:rPr>
      </w:pPr>
      <w:r w:rsidRPr="00E7021A">
        <w:rPr>
          <w:rFonts w:ascii="Arial" w:hAnsi="Arial" w:cs="Arial"/>
          <w:sz w:val="20"/>
          <w:szCs w:val="20"/>
          <w:lang w:val="en-GB"/>
        </w:rPr>
        <w:t>or</w:t>
      </w:r>
    </w:p>
    <w:p w14:paraId="0F38035B" w14:textId="77777777" w:rsidR="00EE25EE" w:rsidRPr="00E7021A" w:rsidRDefault="00EE25EE" w:rsidP="00EE25EE">
      <w:pPr>
        <w:pStyle w:val="Sansinterligne"/>
        <w:jc w:val="both"/>
        <w:rPr>
          <w:rFonts w:ascii="Arial" w:hAnsi="Arial" w:cs="Arial"/>
          <w:sz w:val="20"/>
          <w:szCs w:val="20"/>
          <w:lang w:val="en-GB"/>
        </w:rPr>
      </w:pPr>
    </w:p>
    <w:p w14:paraId="0F38035C" w14:textId="56A67B96" w:rsidR="00EE25EE" w:rsidRPr="00E7021A" w:rsidRDefault="00EE25EE" w:rsidP="00EE25EE">
      <w:pPr>
        <w:pStyle w:val="Sansinterligne"/>
        <w:numPr>
          <w:ilvl w:val="0"/>
          <w:numId w:val="2"/>
        </w:numPr>
        <w:jc w:val="both"/>
        <w:rPr>
          <w:rFonts w:ascii="Arial" w:hAnsi="Arial" w:cs="Arial"/>
          <w:sz w:val="20"/>
          <w:szCs w:val="20"/>
        </w:rPr>
      </w:pPr>
      <w:r w:rsidRPr="00E7021A">
        <w:rPr>
          <w:rFonts w:ascii="Arial" w:hAnsi="Arial" w:cs="Arial"/>
          <w:sz w:val="20"/>
          <w:szCs w:val="20"/>
        </w:rPr>
        <w:t xml:space="preserve">A </w:t>
      </w:r>
      <w:proofErr w:type="spellStart"/>
      <w:r w:rsidRPr="00E7021A">
        <w:rPr>
          <w:rFonts w:ascii="Arial" w:hAnsi="Arial" w:cs="Arial"/>
          <w:sz w:val="20"/>
          <w:szCs w:val="20"/>
        </w:rPr>
        <w:t>letter</w:t>
      </w:r>
      <w:proofErr w:type="spellEnd"/>
      <w:r w:rsidRPr="00E7021A">
        <w:rPr>
          <w:rFonts w:ascii="Arial" w:hAnsi="Arial" w:cs="Arial"/>
          <w:sz w:val="20"/>
          <w:szCs w:val="20"/>
        </w:rPr>
        <w:t xml:space="preserve"> to </w:t>
      </w:r>
      <w:r w:rsidR="00730281">
        <w:rPr>
          <w:rFonts w:ascii="Arial" w:hAnsi="Arial" w:cs="Arial"/>
          <w:sz w:val="20"/>
          <w:szCs w:val="20"/>
        </w:rPr>
        <w:t>TOTALENERGIES</w:t>
      </w:r>
      <w:r w:rsidRPr="00E7021A">
        <w:rPr>
          <w:rFonts w:ascii="Arial" w:hAnsi="Arial" w:cs="Arial"/>
          <w:sz w:val="20"/>
          <w:szCs w:val="20"/>
        </w:rPr>
        <w:t>– DATA PROTECTION, Tour Coupole, 2 place Jean Millier, Arche Nord Coupole/Regnault, 92078 PARIS LA DEFENSE CEDEX.</w:t>
      </w:r>
    </w:p>
    <w:p w14:paraId="0F38035D" w14:textId="77777777" w:rsidR="00EE25EE" w:rsidRPr="00730281" w:rsidRDefault="00EE25EE" w:rsidP="00EE25EE">
      <w:pPr>
        <w:jc w:val="both"/>
        <w:rPr>
          <w:color w:val="auto"/>
          <w:sz w:val="20"/>
          <w:szCs w:val="20"/>
        </w:rPr>
      </w:pPr>
    </w:p>
    <w:p w14:paraId="0F38035E" w14:textId="77777777" w:rsidR="00EE25EE" w:rsidRPr="00E7021A" w:rsidRDefault="00EE25EE" w:rsidP="00EE25EE">
      <w:pPr>
        <w:jc w:val="both"/>
        <w:rPr>
          <w:color w:val="auto"/>
          <w:sz w:val="20"/>
          <w:szCs w:val="20"/>
          <w:lang w:val="en-US"/>
        </w:rPr>
      </w:pPr>
      <w:r w:rsidRPr="00E7021A">
        <w:rPr>
          <w:color w:val="auto"/>
          <w:sz w:val="20"/>
          <w:szCs w:val="20"/>
          <w:lang w:val="en-US"/>
        </w:rPr>
        <w:t>Data subjects will be informed about the status of their complaint and of any further steps.</w:t>
      </w:r>
    </w:p>
    <w:p w14:paraId="0F38035F" w14:textId="77777777" w:rsidR="00EE25EE" w:rsidRPr="00E7021A" w:rsidRDefault="00EE25EE" w:rsidP="00EE25EE">
      <w:pPr>
        <w:jc w:val="both"/>
        <w:rPr>
          <w:color w:val="auto"/>
          <w:sz w:val="20"/>
          <w:szCs w:val="20"/>
          <w:lang w:val="en-US"/>
        </w:rPr>
      </w:pPr>
    </w:p>
    <w:p w14:paraId="0F380360" w14:textId="77777777" w:rsidR="00EE25EE" w:rsidRPr="00E7021A" w:rsidRDefault="00EE25EE" w:rsidP="00EE25EE">
      <w:pPr>
        <w:jc w:val="both"/>
        <w:rPr>
          <w:color w:val="auto"/>
          <w:sz w:val="20"/>
          <w:szCs w:val="20"/>
          <w:lang w:val="en-US"/>
        </w:rPr>
      </w:pPr>
      <w:r w:rsidRPr="00E7021A">
        <w:rPr>
          <w:color w:val="auto"/>
          <w:sz w:val="20"/>
          <w:szCs w:val="20"/>
          <w:lang w:val="en-US"/>
        </w:rPr>
        <w:t>The internal complaint procedure is described in APPENDIX 2 hereafter.</w:t>
      </w:r>
    </w:p>
    <w:p w14:paraId="0F380361" w14:textId="77777777" w:rsidR="00EE25EE" w:rsidRPr="00E7021A" w:rsidRDefault="00EE25EE" w:rsidP="00EE25EE">
      <w:pPr>
        <w:jc w:val="both"/>
        <w:rPr>
          <w:color w:val="auto"/>
          <w:sz w:val="20"/>
          <w:szCs w:val="20"/>
          <w:lang w:val="en-US"/>
        </w:rPr>
      </w:pPr>
    </w:p>
    <w:p w14:paraId="0F380362" w14:textId="4BDCD4CD" w:rsidR="00EE25EE" w:rsidRPr="00E7021A" w:rsidRDefault="00EE25EE" w:rsidP="00EE25EE">
      <w:pPr>
        <w:jc w:val="both"/>
        <w:rPr>
          <w:color w:val="auto"/>
          <w:sz w:val="20"/>
          <w:szCs w:val="20"/>
          <w:lang w:val="en-US"/>
        </w:rPr>
      </w:pPr>
      <w:r w:rsidRPr="00E7021A">
        <w:rPr>
          <w:color w:val="auto"/>
          <w:sz w:val="20"/>
          <w:szCs w:val="20"/>
          <w:lang w:val="en-US"/>
        </w:rPr>
        <w:t>The fact that data subjects may file a complaint with</w:t>
      </w:r>
      <w:r w:rsidR="00730281">
        <w:rPr>
          <w:color w:val="auto"/>
          <w:sz w:val="20"/>
          <w:szCs w:val="20"/>
          <w:lang w:val="en-US"/>
        </w:rPr>
        <w:t xml:space="preserve"> </w:t>
      </w:r>
      <w:proofErr w:type="spellStart"/>
      <w:r w:rsidR="00730281" w:rsidRPr="00E7021A">
        <w:rPr>
          <w:color w:val="auto"/>
          <w:sz w:val="20"/>
          <w:szCs w:val="20"/>
          <w:lang w:val="en-US"/>
        </w:rPr>
        <w:t>Total</w:t>
      </w:r>
      <w:r w:rsidR="00730281">
        <w:rPr>
          <w:color w:val="auto"/>
          <w:sz w:val="20"/>
          <w:szCs w:val="20"/>
          <w:lang w:val="en-US"/>
        </w:rPr>
        <w:t>Energies</w:t>
      </w:r>
      <w:proofErr w:type="spellEnd"/>
      <w:r w:rsidR="00730281" w:rsidRPr="00E7021A">
        <w:rPr>
          <w:color w:val="auto"/>
          <w:sz w:val="20"/>
          <w:szCs w:val="20"/>
          <w:lang w:val="en-US"/>
        </w:rPr>
        <w:t xml:space="preserve"> </w:t>
      </w:r>
      <w:r w:rsidRPr="00E7021A">
        <w:rPr>
          <w:color w:val="auto"/>
          <w:sz w:val="20"/>
          <w:szCs w:val="20"/>
          <w:lang w:val="en-US"/>
        </w:rPr>
        <w:t xml:space="preserve">does not affect their rights to lodge a complaint with the competent EEA data protection authorities or to bring an action before the courts of the EEA country where the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color w:val="auto"/>
          <w:sz w:val="20"/>
          <w:szCs w:val="20"/>
          <w:lang w:val="en-US"/>
        </w:rPr>
        <w:t xml:space="preserve"> subsidiary responsible for exporting the personal data is established. </w:t>
      </w:r>
    </w:p>
    <w:p w14:paraId="0F380363" w14:textId="77777777" w:rsidR="00EE25EE" w:rsidRPr="00E7021A" w:rsidRDefault="00EE25EE" w:rsidP="00EE25EE">
      <w:pPr>
        <w:jc w:val="both"/>
        <w:rPr>
          <w:color w:val="auto"/>
          <w:sz w:val="20"/>
          <w:szCs w:val="20"/>
          <w:lang w:val="en-US"/>
        </w:rPr>
      </w:pPr>
    </w:p>
    <w:p w14:paraId="172EF276" w14:textId="09D9DC2C" w:rsidR="00FD40B4" w:rsidRDefault="00FD40B4" w:rsidP="00FD40B4">
      <w:pPr>
        <w:pStyle w:val="Paragraphedeliste"/>
        <w:numPr>
          <w:ilvl w:val="0"/>
          <w:numId w:val="5"/>
        </w:numPr>
        <w:jc w:val="both"/>
        <w:rPr>
          <w:b/>
          <w:color w:val="auto"/>
          <w:sz w:val="20"/>
          <w:szCs w:val="20"/>
          <w:lang w:val="en-US"/>
        </w:rPr>
      </w:pPr>
      <w:r>
        <w:rPr>
          <w:b/>
          <w:color w:val="auto"/>
          <w:sz w:val="20"/>
          <w:szCs w:val="20"/>
          <w:lang w:val="en-US"/>
        </w:rPr>
        <w:t>Governance</w:t>
      </w:r>
    </w:p>
    <w:p w14:paraId="05E02E9F" w14:textId="0885C08C" w:rsidR="00FD40B4" w:rsidRDefault="00FD40B4" w:rsidP="00FD40B4">
      <w:pPr>
        <w:jc w:val="both"/>
        <w:rPr>
          <w:b/>
          <w:color w:val="auto"/>
          <w:sz w:val="20"/>
          <w:szCs w:val="20"/>
          <w:lang w:val="en-US"/>
        </w:rPr>
      </w:pPr>
    </w:p>
    <w:p w14:paraId="0E386F2A" w14:textId="6C907C2E" w:rsidR="00FD40B4" w:rsidRDefault="005374D3" w:rsidP="00FD40B4">
      <w:pPr>
        <w:jc w:val="both"/>
        <w:rPr>
          <w:color w:val="auto"/>
          <w:sz w:val="20"/>
          <w:szCs w:val="20"/>
          <w:lang w:val="en-US"/>
        </w:rPr>
      </w:pPr>
      <w:r>
        <w:rPr>
          <w:color w:val="auto"/>
          <w:sz w:val="20"/>
          <w:szCs w:val="20"/>
          <w:lang w:val="en-US"/>
        </w:rPr>
        <w:t xml:space="preserve">An internal </w:t>
      </w:r>
      <w:r w:rsidR="00662B4C" w:rsidRPr="00662B4C">
        <w:rPr>
          <w:sz w:val="20"/>
          <w:lang w:val="en-US"/>
        </w:rPr>
        <w:t xml:space="preserve">« </w:t>
      </w:r>
      <w:r w:rsidR="009F3AD0">
        <w:rPr>
          <w:color w:val="auto"/>
          <w:sz w:val="20"/>
          <w:szCs w:val="20"/>
          <w:lang w:val="en-US"/>
        </w:rPr>
        <w:t>personal d</w:t>
      </w:r>
      <w:r w:rsidR="00FD40B4">
        <w:rPr>
          <w:color w:val="auto"/>
          <w:sz w:val="20"/>
          <w:szCs w:val="20"/>
          <w:lang w:val="en-US"/>
        </w:rPr>
        <w:t>ata Protection network</w:t>
      </w:r>
      <w:r w:rsidR="00662B4C">
        <w:rPr>
          <w:color w:val="auto"/>
          <w:sz w:val="20"/>
          <w:szCs w:val="20"/>
          <w:lang w:val="en-US"/>
        </w:rPr>
        <w:t xml:space="preserve"> </w:t>
      </w:r>
      <w:r w:rsidR="00662B4C" w:rsidRPr="00730281">
        <w:rPr>
          <w:sz w:val="20"/>
          <w:lang w:val="en-US"/>
        </w:rPr>
        <w:t>»</w:t>
      </w:r>
      <w:r w:rsidR="00FD40B4">
        <w:rPr>
          <w:color w:val="auto"/>
          <w:sz w:val="20"/>
          <w:szCs w:val="20"/>
          <w:lang w:val="en-US"/>
        </w:rPr>
        <w:t xml:space="preserve"> </w:t>
      </w:r>
      <w:proofErr w:type="gramStart"/>
      <w:r w:rsidR="00FD40B4">
        <w:rPr>
          <w:color w:val="auto"/>
          <w:sz w:val="20"/>
          <w:szCs w:val="20"/>
          <w:lang w:val="en-US"/>
        </w:rPr>
        <w:t>is in charge of</w:t>
      </w:r>
      <w:proofErr w:type="gramEnd"/>
      <w:r w:rsidR="00FD40B4">
        <w:rPr>
          <w:color w:val="auto"/>
          <w:sz w:val="20"/>
          <w:szCs w:val="20"/>
          <w:lang w:val="en-US"/>
        </w:rPr>
        <w:t xml:space="preserve"> </w:t>
      </w:r>
      <w:r w:rsidR="005B1111">
        <w:rPr>
          <w:color w:val="auto"/>
          <w:sz w:val="20"/>
          <w:szCs w:val="20"/>
          <w:lang w:val="en-US"/>
        </w:rPr>
        <w:t xml:space="preserve">monitoring and controlling the </w:t>
      </w:r>
      <w:r w:rsidR="00DF1C81">
        <w:rPr>
          <w:color w:val="auto"/>
          <w:sz w:val="20"/>
          <w:szCs w:val="20"/>
          <w:lang w:val="en-US"/>
        </w:rPr>
        <w:t>implementation</w:t>
      </w:r>
      <w:r w:rsidR="005B1111">
        <w:rPr>
          <w:color w:val="auto"/>
          <w:sz w:val="20"/>
          <w:szCs w:val="20"/>
          <w:lang w:val="en-US"/>
        </w:rPr>
        <w:t xml:space="preserve"> </w:t>
      </w:r>
      <w:r w:rsidR="00474431">
        <w:rPr>
          <w:color w:val="auto"/>
          <w:sz w:val="20"/>
          <w:szCs w:val="20"/>
          <w:lang w:val="en-US"/>
        </w:rPr>
        <w:t xml:space="preserve">of the </w:t>
      </w:r>
      <w:r w:rsidR="00FD40B4">
        <w:rPr>
          <w:color w:val="auto"/>
          <w:sz w:val="20"/>
          <w:szCs w:val="20"/>
          <w:lang w:val="en-US"/>
        </w:rPr>
        <w:t xml:space="preserve">BCRs within the </w:t>
      </w:r>
      <w:r w:rsidR="001B74E0">
        <w:rPr>
          <w:color w:val="auto"/>
          <w:sz w:val="20"/>
          <w:szCs w:val="20"/>
          <w:lang w:val="en-US"/>
        </w:rPr>
        <w:t>Company</w:t>
      </w:r>
      <w:r w:rsidR="00FD40B4">
        <w:rPr>
          <w:color w:val="auto"/>
          <w:sz w:val="20"/>
          <w:szCs w:val="20"/>
          <w:lang w:val="en-US"/>
        </w:rPr>
        <w:t>. It is composed of:</w:t>
      </w:r>
    </w:p>
    <w:p w14:paraId="48797294" w14:textId="65531D58" w:rsidR="00FD40B4" w:rsidRPr="00FD40B4" w:rsidRDefault="00FD40B4" w:rsidP="00FD40B4">
      <w:pPr>
        <w:pStyle w:val="Paragraphedeliste"/>
        <w:numPr>
          <w:ilvl w:val="0"/>
          <w:numId w:val="6"/>
        </w:numPr>
        <w:jc w:val="both"/>
        <w:rPr>
          <w:color w:val="auto"/>
          <w:sz w:val="20"/>
          <w:szCs w:val="20"/>
          <w:lang w:val="en-US"/>
        </w:rPr>
      </w:pPr>
      <w:r w:rsidRPr="00FD40B4">
        <w:rPr>
          <w:color w:val="auto"/>
          <w:sz w:val="20"/>
          <w:szCs w:val="20"/>
          <w:lang w:val="en-US"/>
        </w:rPr>
        <w:t>A Corporate Data Privacy Lead who monitors and follows compliance actions at the</w:t>
      </w:r>
      <w:r w:rsidR="001B74E0">
        <w:rPr>
          <w:color w:val="auto"/>
          <w:sz w:val="20"/>
          <w:szCs w:val="20"/>
          <w:lang w:val="en-US"/>
        </w:rPr>
        <w:t xml:space="preserve"> </w:t>
      </w:r>
      <w:r w:rsidR="001B74E0">
        <w:rPr>
          <w:color w:val="auto"/>
          <w:sz w:val="20"/>
          <w:szCs w:val="20"/>
          <w:lang w:val="en-US"/>
        </w:rPr>
        <w:t>Company</w:t>
      </w:r>
      <w:r w:rsidRPr="00FD40B4">
        <w:rPr>
          <w:color w:val="auto"/>
          <w:sz w:val="20"/>
          <w:szCs w:val="20"/>
          <w:lang w:val="en-US"/>
        </w:rPr>
        <w:t xml:space="preserve"> </w:t>
      </w:r>
      <w:proofErr w:type="gramStart"/>
      <w:r w:rsidRPr="00FD40B4">
        <w:rPr>
          <w:color w:val="auto"/>
          <w:sz w:val="20"/>
          <w:szCs w:val="20"/>
          <w:lang w:val="en-US"/>
        </w:rPr>
        <w:t>level;</w:t>
      </w:r>
      <w:proofErr w:type="gramEnd"/>
    </w:p>
    <w:p w14:paraId="482086BA" w14:textId="7C751659" w:rsidR="00FD40B4" w:rsidRPr="00FD40B4" w:rsidRDefault="00FD40B4" w:rsidP="00FD40B4">
      <w:pPr>
        <w:pStyle w:val="Paragraphedeliste"/>
        <w:numPr>
          <w:ilvl w:val="0"/>
          <w:numId w:val="6"/>
        </w:numPr>
        <w:jc w:val="both"/>
        <w:rPr>
          <w:color w:val="auto"/>
          <w:sz w:val="20"/>
          <w:szCs w:val="20"/>
          <w:lang w:val="en-US"/>
        </w:rPr>
      </w:pPr>
      <w:r w:rsidRPr="00FD40B4">
        <w:rPr>
          <w:color w:val="auto"/>
          <w:sz w:val="20"/>
          <w:szCs w:val="20"/>
          <w:lang w:val="en-US"/>
        </w:rPr>
        <w:t xml:space="preserve">Branch Data Privacy Leads who lead and coordinate compliance actions at the Branch </w:t>
      </w:r>
      <w:proofErr w:type="gramStart"/>
      <w:r w:rsidRPr="00FD40B4">
        <w:rPr>
          <w:color w:val="auto"/>
          <w:sz w:val="20"/>
          <w:szCs w:val="20"/>
          <w:lang w:val="en-US"/>
        </w:rPr>
        <w:t>level;</w:t>
      </w:r>
      <w:proofErr w:type="gramEnd"/>
    </w:p>
    <w:p w14:paraId="32E75596" w14:textId="62E73AAB" w:rsidR="00FD40B4" w:rsidRPr="00FD40B4" w:rsidRDefault="00FD40B4" w:rsidP="00FD40B4">
      <w:pPr>
        <w:pStyle w:val="Paragraphedeliste"/>
        <w:numPr>
          <w:ilvl w:val="0"/>
          <w:numId w:val="6"/>
        </w:numPr>
        <w:jc w:val="both"/>
        <w:rPr>
          <w:color w:val="auto"/>
          <w:sz w:val="20"/>
          <w:szCs w:val="20"/>
          <w:lang w:val="en-US"/>
        </w:rPr>
      </w:pPr>
      <w:r w:rsidRPr="00FD40B4">
        <w:rPr>
          <w:color w:val="auto"/>
          <w:sz w:val="20"/>
          <w:szCs w:val="20"/>
          <w:lang w:val="en-US"/>
        </w:rPr>
        <w:t>Data Privacy Liaisons who lead and coordinate compliance actions at the affiliate level</w:t>
      </w:r>
      <w:r w:rsidR="00CC2D65">
        <w:rPr>
          <w:color w:val="auto"/>
          <w:sz w:val="20"/>
          <w:szCs w:val="20"/>
          <w:lang w:val="en-US"/>
        </w:rPr>
        <w:t>.</w:t>
      </w:r>
    </w:p>
    <w:p w14:paraId="672C3E76" w14:textId="44AA0D24" w:rsidR="00FD40B4" w:rsidRPr="00FD40B4" w:rsidRDefault="00FD40B4" w:rsidP="00FD40B4">
      <w:pPr>
        <w:jc w:val="both"/>
        <w:rPr>
          <w:b/>
          <w:color w:val="auto"/>
          <w:sz w:val="20"/>
          <w:szCs w:val="20"/>
          <w:lang w:val="en-US"/>
        </w:rPr>
      </w:pPr>
    </w:p>
    <w:p w14:paraId="67D9E2C3" w14:textId="5CD2DDD7" w:rsidR="00FD40B4" w:rsidRDefault="00FD40B4" w:rsidP="00FD40B4">
      <w:pPr>
        <w:pStyle w:val="Paragraphedeliste"/>
        <w:numPr>
          <w:ilvl w:val="0"/>
          <w:numId w:val="5"/>
        </w:numPr>
        <w:jc w:val="both"/>
        <w:rPr>
          <w:b/>
          <w:color w:val="auto"/>
          <w:sz w:val="20"/>
          <w:szCs w:val="20"/>
          <w:lang w:val="en-US"/>
        </w:rPr>
      </w:pPr>
      <w:r>
        <w:rPr>
          <w:b/>
          <w:color w:val="auto"/>
          <w:sz w:val="20"/>
          <w:szCs w:val="20"/>
          <w:lang w:val="en-US"/>
        </w:rPr>
        <w:t>Internal control and audit</w:t>
      </w:r>
    </w:p>
    <w:p w14:paraId="20955A6C" w14:textId="6E7648CB" w:rsidR="00FD40B4" w:rsidRDefault="00FD40B4" w:rsidP="00FD40B4">
      <w:pPr>
        <w:jc w:val="both"/>
        <w:rPr>
          <w:b/>
          <w:color w:val="auto"/>
          <w:sz w:val="20"/>
          <w:szCs w:val="20"/>
          <w:lang w:val="en-US"/>
        </w:rPr>
      </w:pPr>
    </w:p>
    <w:p w14:paraId="05F5C7E5" w14:textId="3BC911CB" w:rsidR="00FD40B4" w:rsidRDefault="00FD40B4" w:rsidP="00FD40B4">
      <w:pPr>
        <w:jc w:val="both"/>
        <w:rPr>
          <w:color w:val="auto"/>
          <w:sz w:val="20"/>
          <w:szCs w:val="20"/>
          <w:lang w:val="en-US"/>
        </w:rPr>
      </w:pPr>
      <w:r>
        <w:rPr>
          <w:color w:val="auto"/>
          <w:sz w:val="20"/>
          <w:szCs w:val="20"/>
          <w:lang w:val="en-US"/>
        </w:rPr>
        <w:t xml:space="preserve">To ensure the proper application of </w:t>
      </w:r>
      <w:r w:rsidR="00F10242">
        <w:rPr>
          <w:color w:val="auto"/>
          <w:sz w:val="20"/>
          <w:szCs w:val="20"/>
          <w:lang w:val="en-US"/>
        </w:rPr>
        <w:t>our BCRs</w:t>
      </w:r>
      <w:r>
        <w:rPr>
          <w:color w:val="auto"/>
          <w:sz w:val="20"/>
          <w:szCs w:val="20"/>
          <w:lang w:val="en-US"/>
        </w:rPr>
        <w:t xml:space="preserve">, </w:t>
      </w:r>
      <w:r w:rsidR="00D20BE4">
        <w:rPr>
          <w:color w:val="auto"/>
          <w:sz w:val="20"/>
          <w:szCs w:val="20"/>
          <w:lang w:val="en-US"/>
        </w:rPr>
        <w:t>some</w:t>
      </w:r>
      <w:r>
        <w:rPr>
          <w:color w:val="auto"/>
          <w:sz w:val="20"/>
          <w:szCs w:val="20"/>
          <w:lang w:val="en-US"/>
        </w:rPr>
        <w:t xml:space="preserve"> internal control and audit mechanisms have been implemented</w:t>
      </w:r>
      <w:r w:rsidRPr="00FD40B4">
        <w:rPr>
          <w:color w:val="auto"/>
          <w:sz w:val="20"/>
          <w:szCs w:val="20"/>
          <w:lang w:val="en-US"/>
        </w:rPr>
        <w:t>.</w:t>
      </w:r>
    </w:p>
    <w:p w14:paraId="6E8CF72C" w14:textId="30F3573C" w:rsidR="00FD40B4" w:rsidRDefault="00FD40B4" w:rsidP="00FD40B4">
      <w:pPr>
        <w:jc w:val="both"/>
        <w:rPr>
          <w:color w:val="auto"/>
          <w:sz w:val="20"/>
          <w:szCs w:val="20"/>
          <w:lang w:val="en-US"/>
        </w:rPr>
      </w:pPr>
    </w:p>
    <w:p w14:paraId="7BAC252A" w14:textId="623F773A" w:rsidR="00472CDA" w:rsidRDefault="00472CDA" w:rsidP="00FD40B4">
      <w:pPr>
        <w:jc w:val="both"/>
        <w:rPr>
          <w:color w:val="auto"/>
          <w:sz w:val="20"/>
          <w:szCs w:val="20"/>
          <w:lang w:val="en-US"/>
        </w:rPr>
      </w:pPr>
      <w:r>
        <w:rPr>
          <w:color w:val="auto"/>
          <w:sz w:val="20"/>
          <w:szCs w:val="20"/>
          <w:lang w:val="en-US"/>
        </w:rPr>
        <w:t xml:space="preserve">An annual internal control plan is defined by the personal data Protection network to assess the </w:t>
      </w:r>
      <w:r w:rsidR="00CF635A">
        <w:rPr>
          <w:color w:val="auto"/>
          <w:sz w:val="20"/>
          <w:szCs w:val="20"/>
          <w:lang w:val="en-US"/>
        </w:rPr>
        <w:t>level of compliance</w:t>
      </w:r>
      <w:r>
        <w:rPr>
          <w:color w:val="auto"/>
          <w:sz w:val="20"/>
          <w:szCs w:val="20"/>
          <w:lang w:val="en-US"/>
        </w:rPr>
        <w:t xml:space="preserve"> of the </w:t>
      </w:r>
      <w:r w:rsidR="001B74E0">
        <w:rPr>
          <w:color w:val="auto"/>
          <w:sz w:val="20"/>
          <w:szCs w:val="20"/>
          <w:lang w:val="en-US"/>
        </w:rPr>
        <w:t>Company</w:t>
      </w:r>
      <w:r>
        <w:rPr>
          <w:color w:val="auto"/>
          <w:sz w:val="20"/>
          <w:szCs w:val="20"/>
          <w:lang w:val="en-US"/>
        </w:rPr>
        <w:t xml:space="preserve">’s processing </w:t>
      </w:r>
      <w:r w:rsidR="00647A0E">
        <w:rPr>
          <w:color w:val="auto"/>
          <w:sz w:val="20"/>
          <w:szCs w:val="20"/>
          <w:lang w:val="en-US"/>
        </w:rPr>
        <w:t>regarding</w:t>
      </w:r>
      <w:r>
        <w:rPr>
          <w:color w:val="auto"/>
          <w:sz w:val="20"/>
          <w:szCs w:val="20"/>
          <w:lang w:val="en-US"/>
        </w:rPr>
        <w:t xml:space="preserve"> our BCRs. A reporting is also set up to report regularly on </w:t>
      </w:r>
      <w:r w:rsidR="007B3490">
        <w:rPr>
          <w:color w:val="auto"/>
          <w:sz w:val="20"/>
          <w:szCs w:val="20"/>
          <w:lang w:val="en-US"/>
        </w:rPr>
        <w:t xml:space="preserve">the </w:t>
      </w:r>
      <w:r>
        <w:rPr>
          <w:color w:val="auto"/>
          <w:sz w:val="20"/>
          <w:szCs w:val="20"/>
          <w:lang w:val="en-US"/>
        </w:rPr>
        <w:t xml:space="preserve">actions plans that have been drawn up </w:t>
      </w:r>
      <w:r w:rsidR="00647A0E">
        <w:rPr>
          <w:color w:val="auto"/>
          <w:sz w:val="20"/>
          <w:szCs w:val="20"/>
          <w:lang w:val="en-US"/>
        </w:rPr>
        <w:t>after</w:t>
      </w:r>
      <w:r>
        <w:rPr>
          <w:color w:val="auto"/>
          <w:sz w:val="20"/>
          <w:szCs w:val="20"/>
          <w:lang w:val="en-US"/>
        </w:rPr>
        <w:t xml:space="preserve"> evaluations.</w:t>
      </w:r>
    </w:p>
    <w:p w14:paraId="5BD27BB0" w14:textId="1F23AE8D" w:rsidR="00C12FB0" w:rsidRDefault="00C12FB0" w:rsidP="00FD40B4">
      <w:pPr>
        <w:jc w:val="both"/>
        <w:rPr>
          <w:color w:val="auto"/>
          <w:sz w:val="20"/>
          <w:szCs w:val="20"/>
          <w:lang w:val="en-US"/>
        </w:rPr>
      </w:pPr>
    </w:p>
    <w:p w14:paraId="0E3F5CF7" w14:textId="6E78B2EE" w:rsidR="00C12FB0" w:rsidRPr="00FD40B4" w:rsidRDefault="00C12FB0" w:rsidP="00FD40B4">
      <w:pPr>
        <w:jc w:val="both"/>
        <w:rPr>
          <w:color w:val="auto"/>
          <w:sz w:val="20"/>
          <w:szCs w:val="20"/>
          <w:lang w:val="en-US"/>
        </w:rPr>
      </w:pPr>
      <w:r>
        <w:rPr>
          <w:color w:val="auto"/>
          <w:sz w:val="20"/>
          <w:szCs w:val="20"/>
          <w:lang w:val="en-US"/>
        </w:rPr>
        <w:t xml:space="preserve">Furthermore, </w:t>
      </w:r>
      <w:r w:rsidR="00B433F6">
        <w:rPr>
          <w:color w:val="auto"/>
          <w:sz w:val="20"/>
          <w:szCs w:val="20"/>
          <w:lang w:val="en-US"/>
        </w:rPr>
        <w:t>the</w:t>
      </w:r>
      <w:r>
        <w:rPr>
          <w:color w:val="auto"/>
          <w:sz w:val="20"/>
          <w:szCs w:val="20"/>
          <w:lang w:val="en-US"/>
        </w:rPr>
        <w:t xml:space="preserve"> </w:t>
      </w:r>
      <w:r w:rsidR="001B74E0">
        <w:rPr>
          <w:color w:val="auto"/>
          <w:sz w:val="20"/>
          <w:szCs w:val="20"/>
          <w:lang w:val="en-US"/>
        </w:rPr>
        <w:t>Company</w:t>
      </w:r>
      <w:r>
        <w:rPr>
          <w:color w:val="auto"/>
          <w:sz w:val="20"/>
          <w:szCs w:val="20"/>
          <w:lang w:val="en-US"/>
        </w:rPr>
        <w:t xml:space="preserve"> Internal Audit Direction also integrates the control of </w:t>
      </w:r>
      <w:r w:rsidR="00B433F6">
        <w:rPr>
          <w:color w:val="auto"/>
          <w:sz w:val="20"/>
          <w:szCs w:val="20"/>
          <w:lang w:val="en-US"/>
        </w:rPr>
        <w:t xml:space="preserve">the </w:t>
      </w:r>
      <w:r>
        <w:rPr>
          <w:color w:val="auto"/>
          <w:sz w:val="20"/>
          <w:szCs w:val="20"/>
          <w:lang w:val="en-US"/>
        </w:rPr>
        <w:t>personal data protection pattern into its periodic audit plan.</w:t>
      </w:r>
    </w:p>
    <w:p w14:paraId="4AD396F2" w14:textId="77777777" w:rsidR="00FD40B4" w:rsidRPr="00FD40B4" w:rsidRDefault="00FD40B4" w:rsidP="00FD40B4">
      <w:pPr>
        <w:jc w:val="both"/>
        <w:rPr>
          <w:b/>
          <w:color w:val="auto"/>
          <w:sz w:val="20"/>
          <w:szCs w:val="20"/>
          <w:lang w:val="en-US"/>
        </w:rPr>
      </w:pPr>
    </w:p>
    <w:p w14:paraId="0F380364" w14:textId="69D8CC0C" w:rsidR="00EE25EE" w:rsidRPr="00730281" w:rsidRDefault="00EE25EE" w:rsidP="00EE25EE">
      <w:pPr>
        <w:pStyle w:val="Paragraphedeliste"/>
        <w:numPr>
          <w:ilvl w:val="0"/>
          <w:numId w:val="5"/>
        </w:numPr>
        <w:jc w:val="both"/>
        <w:rPr>
          <w:b/>
          <w:color w:val="auto"/>
          <w:sz w:val="20"/>
          <w:szCs w:val="20"/>
          <w:lang w:val="en-US"/>
        </w:rPr>
      </w:pPr>
      <w:r w:rsidRPr="00730281">
        <w:rPr>
          <w:b/>
          <w:color w:val="auto"/>
          <w:sz w:val="20"/>
          <w:szCs w:val="20"/>
          <w:lang w:val="en-US"/>
        </w:rPr>
        <w:t xml:space="preserve">Changes to </w:t>
      </w:r>
      <w:proofErr w:type="spellStart"/>
      <w:r w:rsidR="00730281" w:rsidRPr="00730281">
        <w:rPr>
          <w:b/>
          <w:color w:val="auto"/>
          <w:sz w:val="20"/>
          <w:szCs w:val="20"/>
          <w:lang w:val="en-US"/>
        </w:rPr>
        <w:t>TotalEnergies’s</w:t>
      </w:r>
      <w:proofErr w:type="spellEnd"/>
      <w:r w:rsidRPr="00730281">
        <w:rPr>
          <w:b/>
          <w:color w:val="auto"/>
          <w:sz w:val="20"/>
          <w:szCs w:val="20"/>
          <w:lang w:val="en-US"/>
        </w:rPr>
        <w:t xml:space="preserve"> rules</w:t>
      </w:r>
    </w:p>
    <w:p w14:paraId="0F380365" w14:textId="77777777" w:rsidR="00EE25EE" w:rsidRPr="00E7021A" w:rsidRDefault="00EE25EE" w:rsidP="00EE25EE">
      <w:pPr>
        <w:jc w:val="both"/>
        <w:rPr>
          <w:color w:val="auto"/>
          <w:sz w:val="20"/>
          <w:szCs w:val="20"/>
          <w:lang w:val="en-US"/>
        </w:rPr>
      </w:pPr>
    </w:p>
    <w:p w14:paraId="0F380366" w14:textId="23F85FE1" w:rsidR="00EE25EE" w:rsidRPr="00E7021A" w:rsidRDefault="00EE25EE" w:rsidP="00EE25EE">
      <w:pPr>
        <w:jc w:val="both"/>
        <w:rPr>
          <w:color w:val="auto"/>
          <w:sz w:val="20"/>
          <w:szCs w:val="20"/>
          <w:lang w:val="en-US"/>
        </w:rPr>
      </w:pPr>
      <w:r w:rsidRPr="00E7021A">
        <w:rPr>
          <w:color w:val="auto"/>
          <w:sz w:val="20"/>
          <w:szCs w:val="20"/>
          <w:lang w:val="en-US"/>
        </w:rPr>
        <w:t xml:space="preserve">If necessary, </w:t>
      </w:r>
      <w:r w:rsidR="00F90B51">
        <w:rPr>
          <w:color w:val="auto"/>
          <w:sz w:val="20"/>
          <w:szCs w:val="20"/>
          <w:lang w:val="en-US"/>
        </w:rPr>
        <w:t>our</w:t>
      </w:r>
      <w:r w:rsidRPr="00E7021A">
        <w:rPr>
          <w:color w:val="auto"/>
          <w:sz w:val="20"/>
          <w:szCs w:val="20"/>
          <w:lang w:val="en-US"/>
        </w:rPr>
        <w:t xml:space="preserve"> BCRs may be completed or updated.</w:t>
      </w:r>
    </w:p>
    <w:p w14:paraId="0F380367" w14:textId="77777777" w:rsidR="00EE25EE" w:rsidRPr="00E7021A" w:rsidRDefault="00EE25EE" w:rsidP="00EE25EE">
      <w:pPr>
        <w:jc w:val="both"/>
        <w:rPr>
          <w:color w:val="auto"/>
          <w:sz w:val="20"/>
          <w:szCs w:val="20"/>
          <w:lang w:val="en-US"/>
        </w:rPr>
      </w:pPr>
    </w:p>
    <w:p w14:paraId="0F380368" w14:textId="77777777" w:rsidR="00EE25EE" w:rsidRPr="00E7021A" w:rsidRDefault="00EE25EE" w:rsidP="00EE25EE">
      <w:pPr>
        <w:pStyle w:val="Paragraphedeliste"/>
        <w:numPr>
          <w:ilvl w:val="0"/>
          <w:numId w:val="5"/>
        </w:numPr>
        <w:jc w:val="both"/>
        <w:rPr>
          <w:b/>
          <w:color w:val="auto"/>
          <w:sz w:val="20"/>
          <w:szCs w:val="20"/>
          <w:lang w:val="en-US"/>
        </w:rPr>
      </w:pPr>
      <w:r w:rsidRPr="00E7021A">
        <w:rPr>
          <w:b/>
          <w:color w:val="auto"/>
          <w:sz w:val="20"/>
          <w:szCs w:val="20"/>
          <w:lang w:val="en-US"/>
        </w:rPr>
        <w:t>More information</w:t>
      </w:r>
    </w:p>
    <w:p w14:paraId="0F380369" w14:textId="77777777" w:rsidR="00EE25EE" w:rsidRPr="00E7021A" w:rsidRDefault="00EE25EE" w:rsidP="00EE25EE">
      <w:pPr>
        <w:jc w:val="both"/>
        <w:rPr>
          <w:color w:val="auto"/>
          <w:sz w:val="20"/>
          <w:szCs w:val="20"/>
          <w:lang w:val="en-US"/>
        </w:rPr>
      </w:pPr>
    </w:p>
    <w:p w14:paraId="0F38036A" w14:textId="0079EFD6" w:rsidR="00EE25EE" w:rsidRPr="00E7021A" w:rsidRDefault="00EE25EE" w:rsidP="00EE25EE">
      <w:pPr>
        <w:jc w:val="both"/>
        <w:rPr>
          <w:sz w:val="20"/>
          <w:szCs w:val="20"/>
          <w:lang w:val="en-US"/>
        </w:rPr>
      </w:pPr>
      <w:r w:rsidRPr="00E7021A">
        <w:rPr>
          <w:sz w:val="20"/>
          <w:szCs w:val="20"/>
          <w:lang w:val="en-US"/>
        </w:rPr>
        <w:t xml:space="preserve">A copy </w:t>
      </w:r>
      <w:r w:rsidR="0074487C">
        <w:rPr>
          <w:sz w:val="20"/>
          <w:szCs w:val="20"/>
          <w:lang w:val="en-US"/>
        </w:rPr>
        <w:t>of the comprehensive version of</w:t>
      </w:r>
      <w:r w:rsidR="0060262B">
        <w:rPr>
          <w:sz w:val="20"/>
          <w:szCs w:val="20"/>
          <w:lang w:val="en-US"/>
        </w:rPr>
        <w:t xml:space="preserve"> our </w:t>
      </w:r>
      <w:r w:rsidRPr="00E7021A">
        <w:rPr>
          <w:sz w:val="20"/>
          <w:szCs w:val="20"/>
          <w:lang w:val="en-US"/>
        </w:rPr>
        <w:t xml:space="preserve">BCRs </w:t>
      </w:r>
      <w:r w:rsidR="00271964">
        <w:rPr>
          <w:sz w:val="20"/>
          <w:szCs w:val="20"/>
          <w:lang w:val="en-US"/>
        </w:rPr>
        <w:t xml:space="preserve">as well as </w:t>
      </w:r>
      <w:r w:rsidRPr="00E7021A">
        <w:rPr>
          <w:sz w:val="20"/>
          <w:szCs w:val="20"/>
          <w:lang w:val="en-US"/>
        </w:rPr>
        <w:t xml:space="preserve">a list of </w:t>
      </w:r>
      <w:proofErr w:type="spellStart"/>
      <w:r w:rsidR="00730281" w:rsidRPr="00E7021A">
        <w:rPr>
          <w:color w:val="auto"/>
          <w:sz w:val="20"/>
          <w:szCs w:val="20"/>
          <w:lang w:val="en-US"/>
        </w:rPr>
        <w:t>Total</w:t>
      </w:r>
      <w:r w:rsidR="00730281">
        <w:rPr>
          <w:color w:val="auto"/>
          <w:sz w:val="20"/>
          <w:szCs w:val="20"/>
          <w:lang w:val="en-US"/>
        </w:rPr>
        <w:t>Energies</w:t>
      </w:r>
      <w:proofErr w:type="spellEnd"/>
      <w:r w:rsidRPr="00E7021A">
        <w:rPr>
          <w:sz w:val="20"/>
          <w:szCs w:val="20"/>
          <w:lang w:val="en-US"/>
        </w:rPr>
        <w:t xml:space="preserve"> subsidiaries </w:t>
      </w:r>
      <w:r w:rsidR="00271964">
        <w:rPr>
          <w:sz w:val="20"/>
          <w:szCs w:val="20"/>
          <w:lang w:val="en-US"/>
        </w:rPr>
        <w:t xml:space="preserve">that </w:t>
      </w:r>
      <w:r w:rsidR="0026374B">
        <w:rPr>
          <w:sz w:val="20"/>
          <w:szCs w:val="20"/>
          <w:lang w:val="en-US"/>
        </w:rPr>
        <w:t>adopted</w:t>
      </w:r>
      <w:r w:rsidR="00271964">
        <w:rPr>
          <w:sz w:val="20"/>
          <w:szCs w:val="20"/>
          <w:lang w:val="en-US"/>
        </w:rPr>
        <w:t xml:space="preserve"> them can be obtained</w:t>
      </w:r>
      <w:r w:rsidRPr="00E7021A">
        <w:rPr>
          <w:sz w:val="20"/>
          <w:szCs w:val="20"/>
          <w:lang w:val="en-US"/>
        </w:rPr>
        <w:t xml:space="preserve"> by sending an e-mail </w:t>
      </w:r>
      <w:r w:rsidR="00B73474" w:rsidRPr="00E7021A">
        <w:rPr>
          <w:sz w:val="20"/>
          <w:szCs w:val="20"/>
          <w:lang w:val="en-US"/>
        </w:rPr>
        <w:t>at:</w:t>
      </w:r>
      <w:r w:rsidRPr="00E7021A">
        <w:rPr>
          <w:sz w:val="20"/>
          <w:szCs w:val="20"/>
          <w:lang w:val="en-US"/>
        </w:rPr>
        <w:t xml:space="preserve"> </w:t>
      </w:r>
      <w:hyperlink r:id="rId12" w:history="1">
        <w:r w:rsidR="00730281" w:rsidRPr="00D3286A">
          <w:rPr>
            <w:rStyle w:val="Lienhypertexte"/>
            <w:sz w:val="20"/>
            <w:szCs w:val="20"/>
            <w:lang w:val="en-US"/>
          </w:rPr>
          <w:t>data-protection@totalenergies.com</w:t>
        </w:r>
      </w:hyperlink>
    </w:p>
    <w:p w14:paraId="0F38036B" w14:textId="77777777" w:rsidR="00EE25EE" w:rsidRPr="00E7021A" w:rsidRDefault="00EE25EE" w:rsidP="00EE25EE">
      <w:pPr>
        <w:widowControl w:val="0"/>
        <w:jc w:val="both"/>
        <w:rPr>
          <w:rFonts w:eastAsia="Proxima Nova"/>
          <w:sz w:val="20"/>
          <w:szCs w:val="20"/>
          <w:lang w:val="en-US"/>
        </w:rPr>
      </w:pPr>
    </w:p>
    <w:p w14:paraId="0F38036C" w14:textId="77777777" w:rsidR="00EE25EE" w:rsidRPr="00E7021A" w:rsidRDefault="00EE25EE" w:rsidP="00EE25EE">
      <w:pPr>
        <w:widowControl w:val="0"/>
        <w:rPr>
          <w:rFonts w:eastAsia="Proxima Nova"/>
          <w:sz w:val="20"/>
          <w:szCs w:val="20"/>
          <w:lang w:val="en-US"/>
        </w:rPr>
      </w:pPr>
    </w:p>
    <w:p w14:paraId="0F38036D" w14:textId="77777777" w:rsidR="00EE25EE" w:rsidRPr="00E7021A" w:rsidRDefault="00EE25EE" w:rsidP="00EE25EE">
      <w:pPr>
        <w:widowControl w:val="0"/>
        <w:rPr>
          <w:rFonts w:eastAsia="Proxima Nova"/>
          <w:sz w:val="20"/>
          <w:szCs w:val="20"/>
          <w:lang w:val="en-US"/>
        </w:rPr>
      </w:pPr>
    </w:p>
    <w:p w14:paraId="0F38036E" w14:textId="77777777" w:rsidR="00EE25EE" w:rsidRPr="00E7021A" w:rsidRDefault="00EE25EE" w:rsidP="00EE25EE">
      <w:pPr>
        <w:widowControl w:val="0"/>
        <w:rPr>
          <w:rFonts w:eastAsia="Proxima Nova"/>
          <w:sz w:val="20"/>
          <w:szCs w:val="20"/>
          <w:lang w:val="en-US"/>
        </w:rPr>
      </w:pPr>
    </w:p>
    <w:p w14:paraId="0F38036F" w14:textId="77777777" w:rsidR="00EE25EE" w:rsidRPr="00E7021A" w:rsidRDefault="00EE25EE" w:rsidP="00EE25EE">
      <w:pPr>
        <w:widowControl w:val="0"/>
        <w:rPr>
          <w:rFonts w:eastAsia="Proxima Nova"/>
          <w:sz w:val="20"/>
          <w:szCs w:val="20"/>
          <w:lang w:val="en-US"/>
        </w:rPr>
      </w:pPr>
    </w:p>
    <w:p w14:paraId="0F380370" w14:textId="77777777" w:rsidR="00EE25EE" w:rsidRPr="00E7021A" w:rsidRDefault="00EE25EE" w:rsidP="00EE25EE">
      <w:pPr>
        <w:widowControl w:val="0"/>
        <w:rPr>
          <w:rFonts w:eastAsia="Proxima Nova"/>
          <w:sz w:val="20"/>
          <w:szCs w:val="20"/>
          <w:lang w:val="en-US"/>
        </w:rPr>
      </w:pPr>
    </w:p>
    <w:p w14:paraId="0F380371" w14:textId="77777777" w:rsidR="00EE25EE" w:rsidRPr="00E7021A" w:rsidRDefault="00EE25EE" w:rsidP="00EE25EE">
      <w:pPr>
        <w:widowControl w:val="0"/>
        <w:rPr>
          <w:rFonts w:eastAsia="Proxima Nova"/>
          <w:sz w:val="20"/>
          <w:szCs w:val="20"/>
          <w:lang w:val="en-US"/>
        </w:rPr>
      </w:pPr>
    </w:p>
    <w:p w14:paraId="0F380372" w14:textId="77777777" w:rsidR="00EE25EE" w:rsidRPr="00E7021A" w:rsidRDefault="00EE25EE" w:rsidP="00EE25EE">
      <w:pPr>
        <w:widowControl w:val="0"/>
        <w:rPr>
          <w:rFonts w:eastAsia="Proxima Nova"/>
          <w:sz w:val="20"/>
          <w:szCs w:val="20"/>
          <w:lang w:val="en-US"/>
        </w:rPr>
      </w:pPr>
    </w:p>
    <w:p w14:paraId="0F380373" w14:textId="77777777" w:rsidR="00EE25EE" w:rsidRPr="00E7021A" w:rsidRDefault="00EE25EE" w:rsidP="00EE25EE">
      <w:pPr>
        <w:widowControl w:val="0"/>
        <w:rPr>
          <w:rFonts w:eastAsia="Proxima Nova"/>
          <w:sz w:val="20"/>
          <w:szCs w:val="20"/>
          <w:lang w:val="en-US"/>
        </w:rPr>
      </w:pPr>
    </w:p>
    <w:p w14:paraId="0F380374" w14:textId="77777777" w:rsidR="00EE25EE" w:rsidRPr="00E7021A" w:rsidRDefault="00EE25EE" w:rsidP="00EE25EE">
      <w:pPr>
        <w:widowControl w:val="0"/>
        <w:rPr>
          <w:rFonts w:eastAsia="Proxima Nova"/>
          <w:sz w:val="20"/>
          <w:szCs w:val="20"/>
          <w:lang w:val="en-US"/>
        </w:rPr>
      </w:pPr>
    </w:p>
    <w:p w14:paraId="0F380375" w14:textId="77777777" w:rsidR="00EE25EE" w:rsidRPr="00E7021A" w:rsidRDefault="00EE25EE" w:rsidP="00EE25EE">
      <w:pPr>
        <w:widowControl w:val="0"/>
        <w:rPr>
          <w:rFonts w:eastAsia="Proxima Nova"/>
          <w:sz w:val="20"/>
          <w:szCs w:val="20"/>
          <w:lang w:val="en-US"/>
        </w:rPr>
      </w:pPr>
    </w:p>
    <w:p w14:paraId="0F380376" w14:textId="77777777" w:rsidR="00EE25EE" w:rsidRPr="00E7021A" w:rsidRDefault="00EE25EE" w:rsidP="00EE25EE">
      <w:pPr>
        <w:widowControl w:val="0"/>
        <w:rPr>
          <w:rFonts w:eastAsia="Proxima Nova"/>
          <w:sz w:val="20"/>
          <w:szCs w:val="20"/>
          <w:lang w:val="en-US"/>
        </w:rPr>
      </w:pPr>
    </w:p>
    <w:p w14:paraId="0F380377" w14:textId="77777777" w:rsidR="00EE25EE" w:rsidRPr="00E7021A" w:rsidRDefault="00EE25EE" w:rsidP="00EE25EE">
      <w:pPr>
        <w:widowControl w:val="0"/>
        <w:rPr>
          <w:rFonts w:eastAsia="Proxima Nova"/>
          <w:sz w:val="20"/>
          <w:szCs w:val="20"/>
          <w:lang w:val="en-US"/>
        </w:rPr>
      </w:pPr>
    </w:p>
    <w:p w14:paraId="0161A28A" w14:textId="77777777" w:rsidR="008879FD" w:rsidRDefault="008879FD" w:rsidP="00EE25EE">
      <w:pPr>
        <w:widowControl w:val="0"/>
        <w:rPr>
          <w:rFonts w:eastAsia="Proxima Nova"/>
          <w:sz w:val="20"/>
          <w:szCs w:val="20"/>
          <w:lang w:val="en-US"/>
        </w:rPr>
        <w:sectPr w:rsidR="008879FD" w:rsidSect="0024594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0F380386" w14:textId="77777777" w:rsidR="00EE25EE" w:rsidRPr="00E7021A" w:rsidRDefault="00EE25EE" w:rsidP="00EE25EE">
      <w:pPr>
        <w:pStyle w:val="Sansinterligne"/>
        <w:jc w:val="center"/>
        <w:outlineLvl w:val="0"/>
        <w:rPr>
          <w:rFonts w:ascii="Arial" w:hAnsi="Arial" w:cs="Arial"/>
          <w:b/>
          <w:color w:val="00B050"/>
          <w:sz w:val="20"/>
          <w:szCs w:val="20"/>
          <w:lang w:val="en-GB"/>
        </w:rPr>
      </w:pPr>
      <w:bookmarkStart w:id="0" w:name="_Toc489823267"/>
      <w:r w:rsidRPr="00E7021A">
        <w:rPr>
          <w:rFonts w:ascii="Arial" w:hAnsi="Arial" w:cs="Arial"/>
          <w:b/>
          <w:color w:val="00B050"/>
          <w:sz w:val="20"/>
          <w:szCs w:val="20"/>
          <w:lang w:val="en-GB"/>
        </w:rPr>
        <w:lastRenderedPageBreak/>
        <w:t>APPENDIX 1</w:t>
      </w:r>
      <w:bookmarkEnd w:id="0"/>
    </w:p>
    <w:p w14:paraId="0F380387" w14:textId="77777777" w:rsidR="00EE25EE" w:rsidRPr="00E7021A" w:rsidRDefault="00EE25EE" w:rsidP="00EE25EE">
      <w:pPr>
        <w:pStyle w:val="Sansinterligne"/>
        <w:jc w:val="center"/>
        <w:outlineLvl w:val="0"/>
        <w:rPr>
          <w:rFonts w:ascii="Arial" w:hAnsi="Arial" w:cs="Arial"/>
          <w:b/>
          <w:color w:val="00B050"/>
          <w:sz w:val="20"/>
          <w:szCs w:val="20"/>
          <w:lang w:val="en-GB"/>
        </w:rPr>
      </w:pPr>
      <w:bookmarkStart w:id="1" w:name="_Toc489823268"/>
      <w:r w:rsidRPr="00E7021A">
        <w:rPr>
          <w:rFonts w:ascii="Arial" w:hAnsi="Arial" w:cs="Arial"/>
          <w:b/>
          <w:color w:val="00B050"/>
          <w:sz w:val="20"/>
          <w:szCs w:val="20"/>
          <w:lang w:val="en-GB"/>
        </w:rPr>
        <w:t>THIRD PARTY BENEFICIARY RIGHTS</w:t>
      </w:r>
      <w:bookmarkEnd w:id="1"/>
    </w:p>
    <w:p w14:paraId="0F380388" w14:textId="77777777" w:rsidR="00EE25EE" w:rsidRPr="00E7021A" w:rsidRDefault="00EE25EE" w:rsidP="00EE25EE">
      <w:pPr>
        <w:pStyle w:val="Sansinterligne"/>
        <w:jc w:val="both"/>
        <w:rPr>
          <w:rFonts w:ascii="Arial" w:hAnsi="Arial" w:cs="Arial"/>
          <w:sz w:val="20"/>
          <w:szCs w:val="20"/>
          <w:lang w:val="en-GB"/>
        </w:rPr>
      </w:pPr>
    </w:p>
    <w:p w14:paraId="0F380389" w14:textId="779C9A74" w:rsidR="00EE25EE" w:rsidRPr="00E7021A" w:rsidRDefault="00D460CF" w:rsidP="00EE25EE">
      <w:pPr>
        <w:pStyle w:val="Sansinterligne"/>
        <w:jc w:val="both"/>
        <w:rPr>
          <w:rFonts w:ascii="Arial" w:hAnsi="Arial" w:cs="Arial"/>
          <w:sz w:val="20"/>
          <w:szCs w:val="20"/>
          <w:lang w:val="en-GB"/>
        </w:rPr>
      </w:pPr>
      <w:r>
        <w:rPr>
          <w:rFonts w:ascii="Arial" w:hAnsi="Arial" w:cs="Arial"/>
          <w:sz w:val="20"/>
          <w:szCs w:val="20"/>
          <w:lang w:val="en-GB"/>
        </w:rPr>
        <w:t>Our</w:t>
      </w:r>
      <w:r w:rsidR="00EE25EE" w:rsidRPr="00E7021A">
        <w:rPr>
          <w:rFonts w:ascii="Arial" w:hAnsi="Arial" w:cs="Arial"/>
          <w:sz w:val="20"/>
          <w:szCs w:val="20"/>
          <w:lang w:val="en-GB"/>
        </w:rPr>
        <w:t xml:space="preserve"> BCRs grant rights to Data Subjects to enforce the Rules as third-par</w:t>
      </w:r>
      <w:r w:rsidR="00680C5B">
        <w:rPr>
          <w:rFonts w:ascii="Arial" w:hAnsi="Arial" w:cs="Arial"/>
          <w:sz w:val="20"/>
          <w:szCs w:val="20"/>
          <w:lang w:val="en-GB"/>
        </w:rPr>
        <w:t>ty beneficiaries</w:t>
      </w:r>
      <w:r w:rsidR="00EE25EE" w:rsidRPr="00E7021A">
        <w:rPr>
          <w:rFonts w:ascii="Arial" w:hAnsi="Arial" w:cs="Arial"/>
          <w:sz w:val="20"/>
          <w:szCs w:val="20"/>
          <w:lang w:val="en-GB"/>
        </w:rPr>
        <w:t>.</w:t>
      </w:r>
    </w:p>
    <w:p w14:paraId="0F38038A" w14:textId="77777777" w:rsidR="00EE25EE" w:rsidRPr="00E7021A" w:rsidRDefault="00EE25EE" w:rsidP="00EE25EE">
      <w:pPr>
        <w:pStyle w:val="Sansinterligne"/>
        <w:jc w:val="both"/>
        <w:rPr>
          <w:rFonts w:ascii="Arial" w:hAnsi="Arial" w:cs="Arial"/>
          <w:sz w:val="20"/>
          <w:szCs w:val="20"/>
          <w:lang w:val="en-GB"/>
        </w:rPr>
      </w:pPr>
    </w:p>
    <w:p w14:paraId="0F38038B" w14:textId="660A8EED"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 xml:space="preserve">More specifically, they may enforce the following principles according to the terms and conditions set out in </w:t>
      </w:r>
      <w:r w:rsidR="00F34AB9">
        <w:rPr>
          <w:rFonts w:ascii="Arial" w:hAnsi="Arial" w:cs="Arial"/>
          <w:sz w:val="20"/>
          <w:szCs w:val="20"/>
          <w:lang w:val="en-GB"/>
        </w:rPr>
        <w:t>our</w:t>
      </w:r>
      <w:r w:rsidRPr="00E7021A">
        <w:rPr>
          <w:rFonts w:ascii="Arial" w:hAnsi="Arial" w:cs="Arial"/>
          <w:sz w:val="20"/>
          <w:szCs w:val="20"/>
          <w:lang w:val="en-GB"/>
        </w:rPr>
        <w:t xml:space="preserve"> </w:t>
      </w:r>
      <w:r w:rsidR="00B73474" w:rsidRPr="00E7021A">
        <w:rPr>
          <w:rFonts w:ascii="Arial" w:hAnsi="Arial" w:cs="Arial"/>
          <w:sz w:val="20"/>
          <w:szCs w:val="20"/>
          <w:lang w:val="en-GB"/>
        </w:rPr>
        <w:t>BCRs:</w:t>
      </w:r>
      <w:r w:rsidRPr="00E7021A">
        <w:rPr>
          <w:rFonts w:ascii="Arial" w:hAnsi="Arial" w:cs="Arial"/>
          <w:sz w:val="20"/>
          <w:szCs w:val="20"/>
          <w:lang w:val="en-GB"/>
        </w:rPr>
        <w:t xml:space="preserve"> </w:t>
      </w:r>
    </w:p>
    <w:p w14:paraId="0F38038C" w14:textId="77777777" w:rsidR="00EE25EE" w:rsidRPr="00E7021A" w:rsidRDefault="00EE25EE" w:rsidP="00EE25EE">
      <w:pPr>
        <w:pStyle w:val="Sansinterligne"/>
        <w:jc w:val="both"/>
        <w:rPr>
          <w:rFonts w:ascii="Arial" w:hAnsi="Arial" w:cs="Arial"/>
          <w:sz w:val="20"/>
          <w:szCs w:val="20"/>
          <w:lang w:val="en-GB"/>
        </w:rPr>
      </w:pPr>
    </w:p>
    <w:p w14:paraId="0F38038D" w14:textId="56A5D45D"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That any processing operation carried out within the</w:t>
      </w:r>
      <w:r w:rsidR="001B74E0">
        <w:rPr>
          <w:rFonts w:ascii="Arial" w:hAnsi="Arial" w:cs="Arial"/>
          <w:sz w:val="20"/>
          <w:szCs w:val="20"/>
          <w:lang w:val="en-GB"/>
        </w:rPr>
        <w:t xml:space="preserve"> </w:t>
      </w:r>
      <w:r w:rsidR="001B74E0" w:rsidRPr="001B74E0">
        <w:rPr>
          <w:rFonts w:ascii="Arial" w:hAnsi="Arial" w:cs="Arial"/>
          <w:sz w:val="20"/>
          <w:szCs w:val="20"/>
          <w:lang w:val="en-GB"/>
        </w:rPr>
        <w:t>Company</w:t>
      </w:r>
      <w:r w:rsidRPr="00E7021A">
        <w:rPr>
          <w:rFonts w:ascii="Arial" w:hAnsi="Arial" w:cs="Arial"/>
          <w:sz w:val="20"/>
          <w:szCs w:val="20"/>
          <w:lang w:val="en-GB"/>
        </w:rPr>
        <w:t xml:space="preserve"> must have a legal basis as</w:t>
      </w:r>
      <w:r w:rsidR="000A5858">
        <w:rPr>
          <w:rFonts w:ascii="Arial" w:hAnsi="Arial" w:cs="Arial"/>
          <w:sz w:val="20"/>
          <w:szCs w:val="20"/>
          <w:lang w:val="en-GB"/>
        </w:rPr>
        <w:t xml:space="preserve"> provided for by Applicable </w:t>
      </w:r>
      <w:proofErr w:type="gramStart"/>
      <w:r w:rsidR="000A5858">
        <w:rPr>
          <w:rFonts w:ascii="Arial" w:hAnsi="Arial" w:cs="Arial"/>
          <w:sz w:val="20"/>
          <w:szCs w:val="20"/>
          <w:lang w:val="en-GB"/>
        </w:rPr>
        <w:t>Law</w:t>
      </w:r>
      <w:r w:rsidRPr="00E7021A">
        <w:rPr>
          <w:rFonts w:ascii="Arial" w:hAnsi="Arial" w:cs="Arial"/>
          <w:sz w:val="20"/>
          <w:szCs w:val="20"/>
          <w:lang w:val="en-GB"/>
        </w:rPr>
        <w:t>;</w:t>
      </w:r>
      <w:proofErr w:type="gramEnd"/>
    </w:p>
    <w:p w14:paraId="0F38038E" w14:textId="77777777" w:rsidR="00EE25EE" w:rsidRPr="00E7021A" w:rsidRDefault="00EE25EE" w:rsidP="00EE25EE">
      <w:pPr>
        <w:pStyle w:val="Sansinterligne"/>
        <w:jc w:val="both"/>
        <w:rPr>
          <w:rFonts w:ascii="Arial" w:hAnsi="Arial" w:cs="Arial"/>
          <w:sz w:val="20"/>
          <w:szCs w:val="20"/>
          <w:lang w:val="en-GB"/>
        </w:rPr>
      </w:pPr>
    </w:p>
    <w:p w14:paraId="0F38038F" w14:textId="6FEF557F"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w:t>
      </w:r>
      <w:proofErr w:type="spellStart"/>
      <w:r w:rsidR="00730281"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must collect and process Personal Data for legitimate, specified and explicit purposes and must not further process any Personal Data in a way incompatible with the purpos</w:t>
      </w:r>
      <w:r w:rsidR="000A5858">
        <w:rPr>
          <w:rFonts w:ascii="Arial" w:hAnsi="Arial" w:cs="Arial"/>
          <w:sz w:val="20"/>
          <w:szCs w:val="20"/>
          <w:lang w:val="en-GB"/>
        </w:rPr>
        <w:t xml:space="preserve">e for which they were </w:t>
      </w:r>
      <w:proofErr w:type="gramStart"/>
      <w:r w:rsidR="000A5858">
        <w:rPr>
          <w:rFonts w:ascii="Arial" w:hAnsi="Arial" w:cs="Arial"/>
          <w:sz w:val="20"/>
          <w:szCs w:val="20"/>
          <w:lang w:val="en-GB"/>
        </w:rPr>
        <w:t>collected</w:t>
      </w:r>
      <w:r w:rsidRPr="00E7021A">
        <w:rPr>
          <w:rFonts w:ascii="Arial" w:hAnsi="Arial" w:cs="Arial"/>
          <w:sz w:val="20"/>
          <w:szCs w:val="20"/>
          <w:lang w:val="en-GB"/>
        </w:rPr>
        <w:t>;</w:t>
      </w:r>
      <w:proofErr w:type="gramEnd"/>
    </w:p>
    <w:p w14:paraId="0F380390" w14:textId="77777777" w:rsidR="00EE25EE" w:rsidRPr="00E7021A" w:rsidRDefault="00EE25EE" w:rsidP="00EE25EE">
      <w:pPr>
        <w:pStyle w:val="Sansinterligne"/>
        <w:jc w:val="both"/>
        <w:rPr>
          <w:rFonts w:ascii="Arial" w:hAnsi="Arial" w:cs="Arial"/>
          <w:sz w:val="20"/>
          <w:szCs w:val="20"/>
          <w:lang w:val="en-GB"/>
        </w:rPr>
      </w:pPr>
    </w:p>
    <w:p w14:paraId="0F380391" w14:textId="50CD21EB"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w:t>
      </w:r>
      <w:proofErr w:type="spellStart"/>
      <w:r w:rsidR="00730281"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must process Personal Data that are relevant and not excessive in relation to the purposes for which they are collected, and that these Data must be accurate and, w</w:t>
      </w:r>
      <w:r w:rsidR="000A5858">
        <w:rPr>
          <w:rFonts w:ascii="Arial" w:hAnsi="Arial" w:cs="Arial"/>
          <w:sz w:val="20"/>
          <w:szCs w:val="20"/>
          <w:lang w:val="en-GB"/>
        </w:rPr>
        <w:t xml:space="preserve">here necessary, kept up to </w:t>
      </w:r>
      <w:proofErr w:type="gramStart"/>
      <w:r w:rsidR="000A5858">
        <w:rPr>
          <w:rFonts w:ascii="Arial" w:hAnsi="Arial" w:cs="Arial"/>
          <w:sz w:val="20"/>
          <w:szCs w:val="20"/>
          <w:lang w:val="en-GB"/>
        </w:rPr>
        <w:t>date</w:t>
      </w:r>
      <w:r w:rsidRPr="00E7021A">
        <w:rPr>
          <w:rFonts w:ascii="Arial" w:hAnsi="Arial" w:cs="Arial"/>
          <w:sz w:val="20"/>
          <w:szCs w:val="20"/>
          <w:lang w:val="en-GB"/>
        </w:rPr>
        <w:t>;</w:t>
      </w:r>
      <w:proofErr w:type="gramEnd"/>
    </w:p>
    <w:p w14:paraId="0F380392" w14:textId="77777777" w:rsidR="00EE25EE" w:rsidRPr="00E7021A" w:rsidRDefault="00EE25EE" w:rsidP="00EE25EE">
      <w:pPr>
        <w:pStyle w:val="Sansinterligne"/>
        <w:jc w:val="both"/>
        <w:rPr>
          <w:rFonts w:ascii="Arial" w:hAnsi="Arial" w:cs="Arial"/>
          <w:sz w:val="20"/>
          <w:szCs w:val="20"/>
          <w:lang w:val="en-GB"/>
        </w:rPr>
      </w:pPr>
    </w:p>
    <w:p w14:paraId="0F380393" w14:textId="6B96C803"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That Data Subjects must be provided with easy and permanent access to the information relating to</w:t>
      </w:r>
      <w:r w:rsidR="000A5858">
        <w:rPr>
          <w:rFonts w:ascii="Arial" w:hAnsi="Arial" w:cs="Arial"/>
          <w:sz w:val="20"/>
          <w:szCs w:val="20"/>
          <w:lang w:val="en-GB"/>
        </w:rPr>
        <w:t xml:space="preserve"> their rights under these </w:t>
      </w:r>
      <w:proofErr w:type="gramStart"/>
      <w:r w:rsidR="000A5858">
        <w:rPr>
          <w:rFonts w:ascii="Arial" w:hAnsi="Arial" w:cs="Arial"/>
          <w:sz w:val="20"/>
          <w:szCs w:val="20"/>
          <w:lang w:val="en-GB"/>
        </w:rPr>
        <w:t>BCRs</w:t>
      </w:r>
      <w:r w:rsidRPr="00E7021A">
        <w:rPr>
          <w:rFonts w:ascii="Arial" w:hAnsi="Arial" w:cs="Arial"/>
          <w:sz w:val="20"/>
          <w:szCs w:val="20"/>
          <w:lang w:val="en-GB"/>
        </w:rPr>
        <w:t>;</w:t>
      </w:r>
      <w:proofErr w:type="gramEnd"/>
    </w:p>
    <w:p w14:paraId="0F380394" w14:textId="77777777" w:rsidR="00EE25EE" w:rsidRPr="00E7021A" w:rsidRDefault="00EE25EE" w:rsidP="00EE25EE">
      <w:pPr>
        <w:pStyle w:val="Sansinterligne"/>
        <w:jc w:val="both"/>
        <w:rPr>
          <w:rFonts w:ascii="Arial" w:hAnsi="Arial" w:cs="Arial"/>
          <w:sz w:val="20"/>
          <w:szCs w:val="20"/>
          <w:lang w:val="en-GB"/>
        </w:rPr>
      </w:pPr>
    </w:p>
    <w:p w14:paraId="0F380395" w14:textId="6F183503"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That Data Subjects whose Personal Data originate from the EEA must have a right of access, of rectification and of objection to the processing of their Personal Data in</w:t>
      </w:r>
      <w:r w:rsidR="000A5858">
        <w:rPr>
          <w:rFonts w:ascii="Arial" w:hAnsi="Arial" w:cs="Arial"/>
          <w:sz w:val="20"/>
          <w:szCs w:val="20"/>
          <w:lang w:val="en-GB"/>
        </w:rPr>
        <w:t xml:space="preserve"> accordance with Applicable </w:t>
      </w:r>
      <w:proofErr w:type="gramStart"/>
      <w:r w:rsidR="000A5858">
        <w:rPr>
          <w:rFonts w:ascii="Arial" w:hAnsi="Arial" w:cs="Arial"/>
          <w:sz w:val="20"/>
          <w:szCs w:val="20"/>
          <w:lang w:val="en-GB"/>
        </w:rPr>
        <w:t>Law</w:t>
      </w:r>
      <w:r w:rsidRPr="00E7021A">
        <w:rPr>
          <w:rFonts w:ascii="Arial" w:hAnsi="Arial" w:cs="Arial"/>
          <w:sz w:val="20"/>
          <w:szCs w:val="20"/>
          <w:lang w:val="en-GB"/>
        </w:rPr>
        <w:t>;</w:t>
      </w:r>
      <w:proofErr w:type="gramEnd"/>
    </w:p>
    <w:p w14:paraId="0F380396" w14:textId="77777777" w:rsidR="00EE25EE" w:rsidRPr="00E7021A" w:rsidRDefault="00EE25EE" w:rsidP="00EE25EE">
      <w:pPr>
        <w:pStyle w:val="Sansinterligne"/>
        <w:jc w:val="both"/>
        <w:rPr>
          <w:rFonts w:ascii="Arial" w:hAnsi="Arial" w:cs="Arial"/>
          <w:sz w:val="20"/>
          <w:szCs w:val="20"/>
          <w:lang w:val="en-GB"/>
        </w:rPr>
      </w:pPr>
    </w:p>
    <w:p w14:paraId="0F380397" w14:textId="0E1C01DE"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That Data Subjects whose Personal Data originate from the EEA must not be subject to a decision that produces legal effects concerning them or significantly affects them and that is based solely on automated processing of Personal Data intended to evaluate certain personal aspects relatin</w:t>
      </w:r>
      <w:r w:rsidR="000A5858">
        <w:rPr>
          <w:rFonts w:ascii="Arial" w:hAnsi="Arial" w:cs="Arial"/>
          <w:sz w:val="20"/>
          <w:szCs w:val="20"/>
          <w:lang w:val="en-GB"/>
        </w:rPr>
        <w:t>g to them, unless that decision</w:t>
      </w:r>
      <w:r w:rsidRPr="00E7021A">
        <w:rPr>
          <w:rFonts w:ascii="Arial" w:hAnsi="Arial" w:cs="Arial"/>
          <w:sz w:val="20"/>
          <w:szCs w:val="20"/>
          <w:lang w:val="en-GB"/>
        </w:rPr>
        <w:t xml:space="preserve">: </w:t>
      </w:r>
    </w:p>
    <w:p w14:paraId="0F380398" w14:textId="77777777" w:rsidR="00EE25EE" w:rsidRPr="00E7021A" w:rsidRDefault="00EE25EE" w:rsidP="00EE25EE">
      <w:pPr>
        <w:pStyle w:val="Sansinterligne"/>
        <w:jc w:val="both"/>
        <w:rPr>
          <w:rFonts w:ascii="Arial" w:hAnsi="Arial" w:cs="Arial"/>
          <w:sz w:val="20"/>
          <w:szCs w:val="20"/>
          <w:lang w:val="en-GB"/>
        </w:rPr>
      </w:pPr>
    </w:p>
    <w:p w14:paraId="0F380399" w14:textId="15E11367" w:rsidR="00EE25EE" w:rsidRPr="00E7021A" w:rsidRDefault="00EE25EE" w:rsidP="00EE25EE">
      <w:pPr>
        <w:pStyle w:val="Sansinterligne"/>
        <w:numPr>
          <w:ilvl w:val="1"/>
          <w:numId w:val="2"/>
        </w:numPr>
        <w:jc w:val="both"/>
        <w:rPr>
          <w:rFonts w:ascii="Arial" w:hAnsi="Arial" w:cs="Arial"/>
          <w:sz w:val="20"/>
          <w:szCs w:val="20"/>
          <w:lang w:val="en-GB"/>
        </w:rPr>
      </w:pPr>
      <w:r w:rsidRPr="00E7021A">
        <w:rPr>
          <w:rFonts w:ascii="Arial" w:hAnsi="Arial" w:cs="Arial"/>
          <w:sz w:val="20"/>
          <w:szCs w:val="20"/>
          <w:lang w:val="en-GB"/>
        </w:rPr>
        <w:t>Is taken in the course of the entering into or performance of a contract, provided the request for the entering into or the performance of the contract, lodged by the Data Subject, has been satisfied or that there are suitable measures to safeguard his/her legitimate interests, such as arrangements allowing him/her t</w:t>
      </w:r>
      <w:r w:rsidR="000A5858">
        <w:rPr>
          <w:rFonts w:ascii="Arial" w:hAnsi="Arial" w:cs="Arial"/>
          <w:sz w:val="20"/>
          <w:szCs w:val="20"/>
          <w:lang w:val="en-GB"/>
        </w:rPr>
        <w:t>o express his/her point of view</w:t>
      </w:r>
      <w:r w:rsidRPr="00E7021A">
        <w:rPr>
          <w:rFonts w:ascii="Arial" w:hAnsi="Arial" w:cs="Arial"/>
          <w:sz w:val="20"/>
          <w:szCs w:val="20"/>
          <w:lang w:val="en-GB"/>
        </w:rPr>
        <w:t>; or</w:t>
      </w:r>
    </w:p>
    <w:p w14:paraId="0F38039A" w14:textId="77777777" w:rsidR="00EE25EE" w:rsidRPr="00E7021A" w:rsidRDefault="00EE25EE" w:rsidP="00EE25EE">
      <w:pPr>
        <w:pStyle w:val="Sansinterligne"/>
        <w:jc w:val="both"/>
        <w:rPr>
          <w:rFonts w:ascii="Arial" w:hAnsi="Arial" w:cs="Arial"/>
          <w:sz w:val="20"/>
          <w:szCs w:val="20"/>
          <w:lang w:val="en-GB"/>
        </w:rPr>
      </w:pPr>
    </w:p>
    <w:p w14:paraId="0F38039B" w14:textId="4D349F76" w:rsidR="00EE25EE" w:rsidRPr="00E7021A" w:rsidRDefault="00EE25EE" w:rsidP="00EE25EE">
      <w:pPr>
        <w:pStyle w:val="Sansinterligne"/>
        <w:numPr>
          <w:ilvl w:val="1"/>
          <w:numId w:val="2"/>
        </w:numPr>
        <w:jc w:val="both"/>
        <w:rPr>
          <w:rFonts w:ascii="Arial" w:hAnsi="Arial" w:cs="Arial"/>
          <w:sz w:val="20"/>
          <w:szCs w:val="20"/>
          <w:lang w:val="en-GB"/>
        </w:rPr>
      </w:pPr>
      <w:r w:rsidRPr="00E7021A">
        <w:rPr>
          <w:rFonts w:ascii="Arial" w:hAnsi="Arial" w:cs="Arial"/>
          <w:sz w:val="20"/>
          <w:szCs w:val="20"/>
          <w:lang w:val="en-GB"/>
        </w:rPr>
        <w:t>Is authorized by Applicable Law, which also lays down measures to safeguard the Data Su</w:t>
      </w:r>
      <w:r w:rsidR="000A5858">
        <w:rPr>
          <w:rFonts w:ascii="Arial" w:hAnsi="Arial" w:cs="Arial"/>
          <w:sz w:val="20"/>
          <w:szCs w:val="20"/>
          <w:lang w:val="en-GB"/>
        </w:rPr>
        <w:t xml:space="preserve">bject’s legitimate </w:t>
      </w:r>
      <w:proofErr w:type="gramStart"/>
      <w:r w:rsidR="000A5858">
        <w:rPr>
          <w:rFonts w:ascii="Arial" w:hAnsi="Arial" w:cs="Arial"/>
          <w:sz w:val="20"/>
          <w:szCs w:val="20"/>
          <w:lang w:val="en-GB"/>
        </w:rPr>
        <w:t>interests</w:t>
      </w:r>
      <w:r w:rsidRPr="00E7021A">
        <w:rPr>
          <w:rFonts w:ascii="Arial" w:hAnsi="Arial" w:cs="Arial"/>
          <w:sz w:val="20"/>
          <w:szCs w:val="20"/>
          <w:lang w:val="en-GB"/>
        </w:rPr>
        <w:t>;</w:t>
      </w:r>
      <w:proofErr w:type="gramEnd"/>
    </w:p>
    <w:p w14:paraId="0F38039C" w14:textId="77777777" w:rsidR="00EE25EE" w:rsidRPr="00E7021A" w:rsidRDefault="00EE25EE" w:rsidP="00EE25EE">
      <w:pPr>
        <w:pStyle w:val="Sansinterligne"/>
        <w:jc w:val="both"/>
        <w:rPr>
          <w:rFonts w:ascii="Arial" w:hAnsi="Arial" w:cs="Arial"/>
          <w:sz w:val="20"/>
          <w:szCs w:val="20"/>
          <w:lang w:val="en-GB"/>
        </w:rPr>
      </w:pPr>
    </w:p>
    <w:p w14:paraId="0F38039D" w14:textId="6CAE1B59"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w:t>
      </w:r>
      <w:proofErr w:type="spellStart"/>
      <w:r w:rsidR="00730281"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must implement appropriate measures to guarantee the security and confidentiality of the Personal Data, having regard to the state of art and t</w:t>
      </w:r>
      <w:r w:rsidR="000A5858">
        <w:rPr>
          <w:rFonts w:ascii="Arial" w:hAnsi="Arial" w:cs="Arial"/>
          <w:sz w:val="20"/>
          <w:szCs w:val="20"/>
          <w:lang w:val="en-GB"/>
        </w:rPr>
        <w:t xml:space="preserve">he cost of their </w:t>
      </w:r>
      <w:proofErr w:type="gramStart"/>
      <w:r w:rsidR="000A5858">
        <w:rPr>
          <w:rFonts w:ascii="Arial" w:hAnsi="Arial" w:cs="Arial"/>
          <w:sz w:val="20"/>
          <w:szCs w:val="20"/>
          <w:lang w:val="en-GB"/>
        </w:rPr>
        <w:t>implementation</w:t>
      </w:r>
      <w:r w:rsidRPr="00E7021A">
        <w:rPr>
          <w:rFonts w:ascii="Arial" w:hAnsi="Arial" w:cs="Arial"/>
          <w:sz w:val="20"/>
          <w:szCs w:val="20"/>
          <w:lang w:val="en-GB"/>
        </w:rPr>
        <w:t>;</w:t>
      </w:r>
      <w:proofErr w:type="gramEnd"/>
    </w:p>
    <w:p w14:paraId="0F38039E" w14:textId="77777777" w:rsidR="00EE25EE" w:rsidRPr="00E7021A" w:rsidRDefault="00EE25EE" w:rsidP="00EE25EE">
      <w:pPr>
        <w:pStyle w:val="Sansinterligne"/>
        <w:jc w:val="both"/>
        <w:rPr>
          <w:rFonts w:ascii="Arial" w:hAnsi="Arial" w:cs="Arial"/>
          <w:sz w:val="20"/>
          <w:szCs w:val="20"/>
          <w:lang w:val="en-GB"/>
        </w:rPr>
      </w:pPr>
    </w:p>
    <w:p w14:paraId="0F38039F" w14:textId="07441FE0"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w:t>
      </w:r>
      <w:proofErr w:type="spellStart"/>
      <w:r w:rsidR="00F00B44" w:rsidRPr="00730281">
        <w:rPr>
          <w:rFonts w:ascii="Arial" w:hAnsi="Arial" w:cs="Arial"/>
          <w:sz w:val="20"/>
          <w:szCs w:val="20"/>
          <w:lang w:val="en-GB"/>
        </w:rPr>
        <w:t>TotalEnergies</w:t>
      </w:r>
      <w:proofErr w:type="spellEnd"/>
      <w:r w:rsidR="00F00B44" w:rsidRPr="00E7021A">
        <w:rPr>
          <w:rFonts w:ascii="Arial" w:hAnsi="Arial" w:cs="Arial"/>
          <w:sz w:val="20"/>
          <w:szCs w:val="20"/>
          <w:lang w:val="en-GB"/>
        </w:rPr>
        <w:t xml:space="preserve"> </w:t>
      </w:r>
      <w:r w:rsidRPr="00E7021A">
        <w:rPr>
          <w:rFonts w:ascii="Arial" w:hAnsi="Arial" w:cs="Arial"/>
          <w:sz w:val="20"/>
          <w:szCs w:val="20"/>
          <w:lang w:val="en-GB"/>
        </w:rPr>
        <w:t xml:space="preserve">must conclude a written processing agreement with any service provider used to process Personal Data, specifying that the service provider shall act only under </w:t>
      </w:r>
      <w:proofErr w:type="spellStart"/>
      <w:r w:rsidRPr="00E7021A">
        <w:rPr>
          <w:rFonts w:ascii="Arial" w:hAnsi="Arial" w:cs="Arial"/>
          <w:sz w:val="20"/>
          <w:szCs w:val="20"/>
          <w:lang w:val="en-GB"/>
        </w:rPr>
        <w:t>Total</w:t>
      </w:r>
      <w:r w:rsidR="00964494">
        <w:rPr>
          <w:rFonts w:ascii="Arial" w:hAnsi="Arial" w:cs="Arial"/>
          <w:sz w:val="20"/>
          <w:szCs w:val="20"/>
          <w:lang w:val="en-GB"/>
        </w:rPr>
        <w:t>Energies</w:t>
      </w:r>
      <w:proofErr w:type="spellEnd"/>
      <w:r w:rsidR="00964494">
        <w:rPr>
          <w:rFonts w:ascii="Arial" w:hAnsi="Arial" w:cs="Arial"/>
          <w:sz w:val="20"/>
          <w:szCs w:val="20"/>
          <w:lang w:val="en-GB"/>
        </w:rPr>
        <w:t xml:space="preserve">’ </w:t>
      </w:r>
      <w:r w:rsidRPr="00E7021A">
        <w:rPr>
          <w:rFonts w:ascii="Arial" w:hAnsi="Arial" w:cs="Arial"/>
          <w:sz w:val="20"/>
          <w:szCs w:val="20"/>
          <w:lang w:val="en-GB"/>
        </w:rPr>
        <w:t>instructions and shall implement appropriate securi</w:t>
      </w:r>
      <w:r w:rsidR="000A5858">
        <w:rPr>
          <w:rFonts w:ascii="Arial" w:hAnsi="Arial" w:cs="Arial"/>
          <w:sz w:val="20"/>
          <w:szCs w:val="20"/>
          <w:lang w:val="en-GB"/>
        </w:rPr>
        <w:t xml:space="preserve">ty and confidentiality </w:t>
      </w:r>
      <w:proofErr w:type="gramStart"/>
      <w:r w:rsidR="000A5858">
        <w:rPr>
          <w:rFonts w:ascii="Arial" w:hAnsi="Arial" w:cs="Arial"/>
          <w:sz w:val="20"/>
          <w:szCs w:val="20"/>
          <w:lang w:val="en-GB"/>
        </w:rPr>
        <w:t>measures</w:t>
      </w:r>
      <w:r w:rsidRPr="00E7021A">
        <w:rPr>
          <w:rFonts w:ascii="Arial" w:hAnsi="Arial" w:cs="Arial"/>
          <w:sz w:val="20"/>
          <w:szCs w:val="20"/>
          <w:lang w:val="en-GB"/>
        </w:rPr>
        <w:t>;</w:t>
      </w:r>
      <w:proofErr w:type="gramEnd"/>
    </w:p>
    <w:p w14:paraId="0F3803A0" w14:textId="77777777" w:rsidR="00EE25EE" w:rsidRPr="00E7021A" w:rsidRDefault="00EE25EE" w:rsidP="00EE25EE">
      <w:pPr>
        <w:pStyle w:val="Sansinterligne"/>
        <w:jc w:val="both"/>
        <w:rPr>
          <w:rFonts w:ascii="Arial" w:hAnsi="Arial" w:cs="Arial"/>
          <w:sz w:val="20"/>
          <w:szCs w:val="20"/>
          <w:lang w:val="en-GB"/>
        </w:rPr>
      </w:pPr>
    </w:p>
    <w:p w14:paraId="0F3803A1" w14:textId="2B3034E3"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w:t>
      </w:r>
      <w:proofErr w:type="spellStart"/>
      <w:r w:rsidRPr="00E7021A">
        <w:rPr>
          <w:rFonts w:ascii="Arial" w:hAnsi="Arial" w:cs="Arial"/>
          <w:sz w:val="20"/>
          <w:szCs w:val="20"/>
          <w:lang w:val="en-GB"/>
        </w:rPr>
        <w:t>Total</w:t>
      </w:r>
      <w:r w:rsidR="00964494">
        <w:rPr>
          <w:rFonts w:ascii="Arial" w:hAnsi="Arial" w:cs="Arial"/>
          <w:sz w:val="20"/>
          <w:szCs w:val="20"/>
          <w:lang w:val="en-GB"/>
        </w:rPr>
        <w:t>Energies</w:t>
      </w:r>
      <w:proofErr w:type="spellEnd"/>
      <w:r w:rsidRPr="00E7021A">
        <w:rPr>
          <w:rFonts w:ascii="Arial" w:hAnsi="Arial" w:cs="Arial"/>
          <w:sz w:val="20"/>
          <w:szCs w:val="20"/>
          <w:lang w:val="en-GB"/>
        </w:rPr>
        <w:t xml:space="preserve"> must not transfer Personal Data from a Member State of the EEA or originating from the EEA to a company not belonging to the</w:t>
      </w:r>
      <w:r w:rsidR="001B74E0">
        <w:rPr>
          <w:rFonts w:ascii="Arial" w:hAnsi="Arial" w:cs="Arial"/>
          <w:sz w:val="20"/>
          <w:szCs w:val="20"/>
          <w:lang w:val="en-GB"/>
        </w:rPr>
        <w:t xml:space="preserve"> </w:t>
      </w:r>
      <w:r w:rsidR="001B74E0" w:rsidRPr="001B74E0">
        <w:rPr>
          <w:rFonts w:ascii="Arial" w:hAnsi="Arial" w:cs="Arial"/>
          <w:sz w:val="20"/>
          <w:szCs w:val="20"/>
          <w:lang w:val="en-GB"/>
        </w:rPr>
        <w:t>Company</w:t>
      </w:r>
      <w:r w:rsidRPr="00E7021A">
        <w:rPr>
          <w:rFonts w:ascii="Arial" w:hAnsi="Arial" w:cs="Arial"/>
          <w:sz w:val="20"/>
          <w:szCs w:val="20"/>
          <w:lang w:val="en-GB"/>
        </w:rPr>
        <w:t xml:space="preserve"> and located in a Third Country which does not provide an adequate level of data protection (either an External Data Controller or Processor) without a legal basis under Applicable Law and instruments providing f</w:t>
      </w:r>
      <w:r w:rsidR="000A5858">
        <w:rPr>
          <w:rFonts w:ascii="Arial" w:hAnsi="Arial" w:cs="Arial"/>
          <w:sz w:val="20"/>
          <w:szCs w:val="20"/>
          <w:lang w:val="en-GB"/>
        </w:rPr>
        <w:t>or sufficient safeguards</w:t>
      </w:r>
      <w:r w:rsidRPr="00E7021A">
        <w:rPr>
          <w:rFonts w:ascii="Arial" w:hAnsi="Arial" w:cs="Arial"/>
          <w:sz w:val="20"/>
          <w:szCs w:val="20"/>
          <w:lang w:val="en-GB"/>
        </w:rPr>
        <w:t xml:space="preserve">; </w:t>
      </w:r>
    </w:p>
    <w:p w14:paraId="0F3803A2" w14:textId="77777777" w:rsidR="00EE25EE" w:rsidRPr="00E7021A" w:rsidRDefault="00EE25EE" w:rsidP="00EE25EE">
      <w:pPr>
        <w:pStyle w:val="Sansinterligne"/>
        <w:jc w:val="both"/>
        <w:rPr>
          <w:rFonts w:ascii="Arial" w:hAnsi="Arial" w:cs="Arial"/>
          <w:sz w:val="20"/>
          <w:szCs w:val="20"/>
          <w:lang w:val="en-GB"/>
        </w:rPr>
      </w:pPr>
    </w:p>
    <w:p w14:paraId="0F3803A3" w14:textId="04441F9A"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a </w:t>
      </w:r>
      <w:proofErr w:type="spellStart"/>
      <w:r w:rsidR="00F00B44"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Subsidiary must immediately inform the Data exporter if this </w:t>
      </w:r>
      <w:proofErr w:type="spellStart"/>
      <w:r w:rsidR="00F00B44" w:rsidRPr="00730281">
        <w:rPr>
          <w:rFonts w:ascii="Arial" w:hAnsi="Arial" w:cs="Arial"/>
          <w:sz w:val="20"/>
          <w:szCs w:val="20"/>
          <w:lang w:val="en-GB"/>
        </w:rPr>
        <w:t>TotalEnergies</w:t>
      </w:r>
      <w:proofErr w:type="spellEnd"/>
      <w:r w:rsidR="00F00B44" w:rsidRPr="00E7021A">
        <w:rPr>
          <w:rFonts w:ascii="Arial" w:hAnsi="Arial" w:cs="Arial"/>
          <w:sz w:val="20"/>
          <w:szCs w:val="20"/>
          <w:lang w:val="en-GB"/>
        </w:rPr>
        <w:t xml:space="preserve"> </w:t>
      </w:r>
      <w:r w:rsidRPr="00E7021A">
        <w:rPr>
          <w:rFonts w:ascii="Arial" w:hAnsi="Arial" w:cs="Arial"/>
          <w:sz w:val="20"/>
          <w:szCs w:val="20"/>
          <w:lang w:val="en-GB"/>
        </w:rPr>
        <w:t xml:space="preserve">Subsidiary deems that the legislation applicable in its jurisdiction is likely to prevent it from fulfilling its obligations pursuant to </w:t>
      </w:r>
      <w:proofErr w:type="spellStart"/>
      <w:r w:rsidR="00F00B44" w:rsidRPr="00730281">
        <w:rPr>
          <w:rFonts w:ascii="Arial" w:hAnsi="Arial" w:cs="Arial"/>
          <w:sz w:val="20"/>
          <w:szCs w:val="20"/>
          <w:lang w:val="en-GB"/>
        </w:rPr>
        <w:t>TotalEnergies</w:t>
      </w:r>
      <w:proofErr w:type="spellEnd"/>
      <w:r w:rsidR="00F00B44">
        <w:rPr>
          <w:rFonts w:ascii="Arial" w:hAnsi="Arial" w:cs="Arial"/>
          <w:sz w:val="20"/>
          <w:szCs w:val="20"/>
          <w:lang w:val="en-GB"/>
        </w:rPr>
        <w:t>’</w:t>
      </w:r>
      <w:r w:rsidR="00F00B44" w:rsidRPr="00E7021A">
        <w:rPr>
          <w:rFonts w:ascii="Arial" w:hAnsi="Arial" w:cs="Arial"/>
          <w:sz w:val="20"/>
          <w:szCs w:val="20"/>
          <w:lang w:val="en-GB"/>
        </w:rPr>
        <w:t xml:space="preserve"> </w:t>
      </w:r>
      <w:r w:rsidRPr="00E7021A">
        <w:rPr>
          <w:rFonts w:ascii="Arial" w:hAnsi="Arial" w:cs="Arial"/>
          <w:sz w:val="20"/>
          <w:szCs w:val="20"/>
          <w:lang w:val="en-GB"/>
        </w:rPr>
        <w:t xml:space="preserve">BCRs, and have a detrimental effect on the guarantees offered by these BCRs, unless where prohibited by a law enforcement authority, in </w:t>
      </w:r>
      <w:r w:rsidRPr="00E7021A">
        <w:rPr>
          <w:rFonts w:ascii="Arial" w:hAnsi="Arial" w:cs="Arial"/>
          <w:sz w:val="20"/>
          <w:szCs w:val="20"/>
          <w:lang w:val="en-GB"/>
        </w:rPr>
        <w:lastRenderedPageBreak/>
        <w:t>particular as a result of a prohibition under criminal law to preserve the confidentiality of a law enforcement investigat</w:t>
      </w:r>
      <w:r w:rsidR="0007640F">
        <w:rPr>
          <w:rFonts w:ascii="Arial" w:hAnsi="Arial" w:cs="Arial"/>
          <w:sz w:val="20"/>
          <w:szCs w:val="20"/>
          <w:lang w:val="en-GB"/>
        </w:rPr>
        <w:t>ion</w:t>
      </w:r>
      <w:r w:rsidRPr="00E7021A">
        <w:rPr>
          <w:rFonts w:ascii="Arial" w:hAnsi="Arial" w:cs="Arial"/>
          <w:sz w:val="20"/>
          <w:szCs w:val="20"/>
          <w:lang w:val="en-GB"/>
        </w:rPr>
        <w:t xml:space="preserve">; </w:t>
      </w:r>
    </w:p>
    <w:p w14:paraId="0F3803A4" w14:textId="77777777" w:rsidR="00EE25EE" w:rsidRPr="00E7021A" w:rsidRDefault="00EE25EE" w:rsidP="00EE25EE">
      <w:pPr>
        <w:pStyle w:val="Paragraphedeliste"/>
        <w:rPr>
          <w:sz w:val="20"/>
          <w:szCs w:val="20"/>
          <w:lang w:val="en-GB"/>
        </w:rPr>
      </w:pPr>
    </w:p>
    <w:p w14:paraId="0F3803A5" w14:textId="067A3B2C"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any Data Subject may lodge a complaint with </w:t>
      </w:r>
      <w:proofErr w:type="spellStart"/>
      <w:r w:rsidR="00F00B44" w:rsidRPr="00730281">
        <w:rPr>
          <w:rFonts w:ascii="Arial" w:hAnsi="Arial" w:cs="Arial"/>
          <w:sz w:val="20"/>
          <w:szCs w:val="20"/>
          <w:lang w:val="en-GB"/>
        </w:rPr>
        <w:t>TotalEnergies</w:t>
      </w:r>
      <w:proofErr w:type="spellEnd"/>
      <w:r w:rsidR="00F00B44" w:rsidRPr="00E7021A">
        <w:rPr>
          <w:rFonts w:ascii="Arial" w:hAnsi="Arial" w:cs="Arial"/>
          <w:sz w:val="20"/>
          <w:szCs w:val="20"/>
          <w:lang w:val="en-GB"/>
        </w:rPr>
        <w:t xml:space="preserve"> </w:t>
      </w:r>
      <w:r w:rsidRPr="00E7021A">
        <w:rPr>
          <w:rFonts w:ascii="Arial" w:hAnsi="Arial" w:cs="Arial"/>
          <w:sz w:val="20"/>
          <w:szCs w:val="20"/>
          <w:lang w:val="en-GB"/>
        </w:rPr>
        <w:t>through the internal complaint mechanism in accordance with the terms set out in the</w:t>
      </w:r>
      <w:r w:rsidR="00183B27">
        <w:rPr>
          <w:rFonts w:ascii="Arial" w:hAnsi="Arial" w:cs="Arial"/>
          <w:sz w:val="20"/>
          <w:szCs w:val="20"/>
          <w:lang w:val="en-GB"/>
        </w:rPr>
        <w:t xml:space="preserve"> Chapter « Complaint handling </w:t>
      </w:r>
      <w:proofErr w:type="gramStart"/>
      <w:r w:rsidR="00183B27">
        <w:rPr>
          <w:rFonts w:ascii="Arial" w:hAnsi="Arial" w:cs="Arial"/>
          <w:sz w:val="20"/>
          <w:szCs w:val="20"/>
          <w:lang w:val="en-GB"/>
        </w:rPr>
        <w:t>»</w:t>
      </w:r>
      <w:r w:rsidRPr="00E7021A">
        <w:rPr>
          <w:rFonts w:ascii="Arial" w:hAnsi="Arial" w:cs="Arial"/>
          <w:sz w:val="20"/>
          <w:szCs w:val="20"/>
          <w:lang w:val="en-GB"/>
        </w:rPr>
        <w:t>;</w:t>
      </w:r>
      <w:proofErr w:type="gramEnd"/>
      <w:r w:rsidRPr="00E7021A">
        <w:rPr>
          <w:rFonts w:ascii="Arial" w:hAnsi="Arial" w:cs="Arial"/>
          <w:sz w:val="20"/>
          <w:szCs w:val="20"/>
          <w:lang w:val="en-GB"/>
        </w:rPr>
        <w:t xml:space="preserve"> </w:t>
      </w:r>
    </w:p>
    <w:p w14:paraId="0F3803A6" w14:textId="77777777" w:rsidR="00EE25EE" w:rsidRPr="00E7021A" w:rsidRDefault="00EE25EE" w:rsidP="00EE25EE">
      <w:pPr>
        <w:pStyle w:val="Sansinterligne"/>
        <w:jc w:val="both"/>
        <w:rPr>
          <w:rFonts w:ascii="Arial" w:hAnsi="Arial" w:cs="Arial"/>
          <w:sz w:val="20"/>
          <w:szCs w:val="20"/>
          <w:lang w:val="en-GB"/>
        </w:rPr>
      </w:pPr>
    </w:p>
    <w:p w14:paraId="0F3803A7" w14:textId="29005910"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any </w:t>
      </w:r>
      <w:proofErr w:type="spellStart"/>
      <w:r w:rsidR="00F00B44"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Subsidiaries that have subscribed to the BCRs must cooperate with the competent supervisory authorities, follow their recommendations regarding the international Transfers of Data in the event of a complaint or of a particular request from such authorities and accept to be audited by the supervisory authority of their country of establishmen</w:t>
      </w:r>
      <w:r w:rsidR="00183B27">
        <w:rPr>
          <w:rFonts w:ascii="Arial" w:hAnsi="Arial" w:cs="Arial"/>
          <w:sz w:val="20"/>
          <w:szCs w:val="20"/>
          <w:lang w:val="en-GB"/>
        </w:rPr>
        <w:t>t</w:t>
      </w:r>
      <w:r w:rsidRPr="00E7021A">
        <w:rPr>
          <w:rFonts w:ascii="Arial" w:hAnsi="Arial" w:cs="Arial"/>
          <w:sz w:val="20"/>
          <w:szCs w:val="20"/>
          <w:lang w:val="en-GB"/>
        </w:rPr>
        <w:t xml:space="preserve">; </w:t>
      </w:r>
    </w:p>
    <w:p w14:paraId="0F3803A8" w14:textId="77777777" w:rsidR="00EE25EE" w:rsidRPr="00E7021A" w:rsidRDefault="00EE25EE" w:rsidP="00EE25EE">
      <w:pPr>
        <w:pStyle w:val="Sansinterligne"/>
        <w:jc w:val="both"/>
        <w:rPr>
          <w:rFonts w:ascii="Arial" w:hAnsi="Arial" w:cs="Arial"/>
          <w:sz w:val="20"/>
          <w:szCs w:val="20"/>
          <w:lang w:val="en-GB"/>
        </w:rPr>
      </w:pPr>
    </w:p>
    <w:p w14:paraId="0F3803A9" w14:textId="73E1D459" w:rsidR="00EE25EE" w:rsidRPr="00E7021A" w:rsidRDefault="00EE25EE" w:rsidP="00EE25EE">
      <w:pPr>
        <w:pStyle w:val="Sansinterligne"/>
        <w:numPr>
          <w:ilvl w:val="0"/>
          <w:numId w:val="1"/>
        </w:numPr>
        <w:jc w:val="both"/>
        <w:rPr>
          <w:rFonts w:ascii="Arial" w:hAnsi="Arial" w:cs="Arial"/>
          <w:sz w:val="20"/>
          <w:szCs w:val="20"/>
          <w:lang w:val="en-GB"/>
        </w:rPr>
      </w:pPr>
      <w:r w:rsidRPr="00E7021A">
        <w:rPr>
          <w:rFonts w:ascii="Arial" w:hAnsi="Arial" w:cs="Arial"/>
          <w:sz w:val="20"/>
          <w:szCs w:val="20"/>
          <w:lang w:val="en-GB"/>
        </w:rPr>
        <w:t xml:space="preserve">That any Data Subject may lodge a complaint with the National Supervisory Authorities or bring an action before the court of the EEA Member State where the Data exporter is established in order to enforce the above principles, and, where appropriate, to receive compensation for the damage suffered as a result of a breach of </w:t>
      </w:r>
      <w:proofErr w:type="spellStart"/>
      <w:r w:rsidR="00F00B44" w:rsidRPr="00730281">
        <w:rPr>
          <w:rFonts w:ascii="Arial" w:hAnsi="Arial" w:cs="Arial"/>
          <w:sz w:val="20"/>
          <w:szCs w:val="20"/>
          <w:lang w:val="en-GB"/>
        </w:rPr>
        <w:t>TotalEnergies</w:t>
      </w:r>
      <w:proofErr w:type="spellEnd"/>
      <w:r w:rsidR="00F00B44">
        <w:rPr>
          <w:rFonts w:ascii="Arial" w:hAnsi="Arial" w:cs="Arial"/>
          <w:sz w:val="20"/>
          <w:szCs w:val="20"/>
          <w:lang w:val="en-GB"/>
        </w:rPr>
        <w:t>’</w:t>
      </w:r>
      <w:r w:rsidRPr="00E7021A">
        <w:rPr>
          <w:rFonts w:ascii="Arial" w:hAnsi="Arial" w:cs="Arial"/>
          <w:sz w:val="20"/>
          <w:szCs w:val="20"/>
          <w:lang w:val="en-GB"/>
        </w:rPr>
        <w:t xml:space="preserve"> BCRs. If, in the course of a transfer of Personal Data outside the EEA, the Data importer fails to observe </w:t>
      </w:r>
      <w:proofErr w:type="spellStart"/>
      <w:r w:rsidR="00F00B44" w:rsidRPr="00730281">
        <w:rPr>
          <w:rFonts w:ascii="Arial" w:hAnsi="Arial" w:cs="Arial"/>
          <w:sz w:val="20"/>
          <w:szCs w:val="20"/>
          <w:lang w:val="en-GB"/>
        </w:rPr>
        <w:t>TotalEnergies</w:t>
      </w:r>
      <w:proofErr w:type="spellEnd"/>
      <w:r w:rsidR="00F00B44">
        <w:rPr>
          <w:rFonts w:ascii="Arial" w:hAnsi="Arial" w:cs="Arial"/>
          <w:sz w:val="20"/>
          <w:szCs w:val="20"/>
          <w:lang w:val="en-GB"/>
        </w:rPr>
        <w:t>’</w:t>
      </w:r>
      <w:r w:rsidRPr="00E7021A">
        <w:rPr>
          <w:rFonts w:ascii="Arial" w:hAnsi="Arial" w:cs="Arial"/>
          <w:sz w:val="20"/>
          <w:szCs w:val="20"/>
          <w:lang w:val="en-GB"/>
        </w:rPr>
        <w:t xml:space="preserve"> BCRs, the Data exporter will defend any claim, establish that the Data importer has not violated the BCRs, and pay compensation to the Data Subject for the damage suffered as a result of that violation.</w:t>
      </w:r>
    </w:p>
    <w:p w14:paraId="0F3803AA" w14:textId="77777777" w:rsidR="00EE25EE" w:rsidRPr="00E7021A" w:rsidRDefault="00EE25EE" w:rsidP="00EE25EE">
      <w:pPr>
        <w:widowControl w:val="0"/>
        <w:rPr>
          <w:rFonts w:eastAsia="Proxima Nova"/>
          <w:sz w:val="20"/>
          <w:szCs w:val="20"/>
          <w:lang w:val="en-GB"/>
        </w:rPr>
      </w:pPr>
    </w:p>
    <w:p w14:paraId="0F3803AB" w14:textId="77777777" w:rsidR="00EE25EE" w:rsidRPr="00E7021A" w:rsidRDefault="00EE25EE" w:rsidP="00EE25EE">
      <w:pPr>
        <w:widowControl w:val="0"/>
        <w:rPr>
          <w:rFonts w:eastAsia="Proxima Nova"/>
          <w:sz w:val="20"/>
          <w:szCs w:val="20"/>
          <w:lang w:val="en-US"/>
        </w:rPr>
      </w:pPr>
    </w:p>
    <w:p w14:paraId="0F3803AC" w14:textId="77777777" w:rsidR="00EE25EE" w:rsidRPr="00E7021A" w:rsidRDefault="00EE25EE" w:rsidP="00EE25EE">
      <w:pPr>
        <w:widowControl w:val="0"/>
        <w:rPr>
          <w:rFonts w:eastAsia="Proxima Nova"/>
          <w:sz w:val="20"/>
          <w:szCs w:val="20"/>
          <w:lang w:val="en-US"/>
        </w:rPr>
      </w:pPr>
    </w:p>
    <w:p w14:paraId="0F3803AD" w14:textId="77777777" w:rsidR="00EE25EE" w:rsidRPr="00E7021A" w:rsidRDefault="00EE25EE" w:rsidP="00EE25EE">
      <w:pPr>
        <w:widowControl w:val="0"/>
        <w:rPr>
          <w:rFonts w:eastAsia="Proxima Nova"/>
          <w:sz w:val="20"/>
          <w:szCs w:val="20"/>
          <w:lang w:val="en-US"/>
        </w:rPr>
      </w:pPr>
    </w:p>
    <w:p w14:paraId="0F3803AE" w14:textId="77777777" w:rsidR="00EE25EE" w:rsidRPr="00E7021A" w:rsidRDefault="00EE25EE" w:rsidP="00EE25EE">
      <w:pPr>
        <w:widowControl w:val="0"/>
        <w:rPr>
          <w:rFonts w:eastAsia="Proxima Nova"/>
          <w:sz w:val="20"/>
          <w:szCs w:val="20"/>
          <w:lang w:val="en-US"/>
        </w:rPr>
      </w:pPr>
    </w:p>
    <w:p w14:paraId="0F3803AF" w14:textId="77777777" w:rsidR="00EE25EE" w:rsidRPr="00E7021A" w:rsidRDefault="00EE25EE" w:rsidP="00EE25EE">
      <w:pPr>
        <w:widowControl w:val="0"/>
        <w:rPr>
          <w:rFonts w:eastAsia="Proxima Nova"/>
          <w:sz w:val="20"/>
          <w:szCs w:val="20"/>
          <w:lang w:val="en-US"/>
        </w:rPr>
      </w:pPr>
    </w:p>
    <w:p w14:paraId="0F3803B0" w14:textId="77777777" w:rsidR="00EE25EE" w:rsidRPr="00E7021A" w:rsidRDefault="00EE25EE" w:rsidP="00EE25EE">
      <w:pPr>
        <w:widowControl w:val="0"/>
        <w:rPr>
          <w:rFonts w:eastAsia="Proxima Nova"/>
          <w:sz w:val="20"/>
          <w:szCs w:val="20"/>
          <w:lang w:val="en-US"/>
        </w:rPr>
      </w:pPr>
    </w:p>
    <w:p w14:paraId="0F3803B1" w14:textId="77777777" w:rsidR="00EE25EE" w:rsidRPr="00E7021A" w:rsidRDefault="00EE25EE" w:rsidP="00EE25EE">
      <w:pPr>
        <w:widowControl w:val="0"/>
        <w:rPr>
          <w:rFonts w:eastAsia="Proxima Nova"/>
          <w:sz w:val="20"/>
          <w:szCs w:val="20"/>
          <w:lang w:val="en-US"/>
        </w:rPr>
      </w:pPr>
    </w:p>
    <w:p w14:paraId="0F3803B2" w14:textId="77777777" w:rsidR="00EE25EE" w:rsidRPr="00E7021A" w:rsidRDefault="00EE25EE" w:rsidP="00EE25EE">
      <w:pPr>
        <w:widowControl w:val="0"/>
        <w:rPr>
          <w:rFonts w:eastAsia="Proxima Nova"/>
          <w:sz w:val="20"/>
          <w:szCs w:val="20"/>
          <w:lang w:val="en-US"/>
        </w:rPr>
      </w:pPr>
    </w:p>
    <w:p w14:paraId="0F3803B3" w14:textId="77777777" w:rsidR="00EE25EE" w:rsidRPr="00E7021A" w:rsidRDefault="00EE25EE" w:rsidP="00EE25EE">
      <w:pPr>
        <w:widowControl w:val="0"/>
        <w:rPr>
          <w:rFonts w:eastAsia="Proxima Nova"/>
          <w:sz w:val="20"/>
          <w:szCs w:val="20"/>
          <w:lang w:val="en-US"/>
        </w:rPr>
      </w:pPr>
    </w:p>
    <w:p w14:paraId="0F3803B4" w14:textId="77777777" w:rsidR="00EE25EE" w:rsidRPr="00E7021A" w:rsidRDefault="00EE25EE" w:rsidP="00EE25EE">
      <w:pPr>
        <w:widowControl w:val="0"/>
        <w:rPr>
          <w:rFonts w:eastAsia="Proxima Nova"/>
          <w:sz w:val="20"/>
          <w:szCs w:val="20"/>
          <w:lang w:val="en-US"/>
        </w:rPr>
      </w:pPr>
    </w:p>
    <w:p w14:paraId="0F3803B5" w14:textId="77777777" w:rsidR="00EE25EE" w:rsidRPr="00E7021A" w:rsidRDefault="00EE25EE" w:rsidP="00EE25EE">
      <w:pPr>
        <w:widowControl w:val="0"/>
        <w:rPr>
          <w:rFonts w:eastAsia="Proxima Nova"/>
          <w:sz w:val="20"/>
          <w:szCs w:val="20"/>
          <w:lang w:val="en-US"/>
        </w:rPr>
      </w:pPr>
    </w:p>
    <w:p w14:paraId="0F3803B6" w14:textId="77777777" w:rsidR="00EE25EE" w:rsidRPr="00E7021A" w:rsidRDefault="00EE25EE" w:rsidP="00EE25EE">
      <w:pPr>
        <w:widowControl w:val="0"/>
        <w:rPr>
          <w:rFonts w:eastAsia="Proxima Nova"/>
          <w:sz w:val="20"/>
          <w:szCs w:val="20"/>
          <w:lang w:val="en-US"/>
        </w:rPr>
      </w:pPr>
    </w:p>
    <w:p w14:paraId="0F3803B7" w14:textId="77777777" w:rsidR="00EE25EE" w:rsidRPr="00E7021A" w:rsidRDefault="00EE25EE" w:rsidP="00EE25EE">
      <w:pPr>
        <w:widowControl w:val="0"/>
        <w:rPr>
          <w:rFonts w:eastAsia="Proxima Nova"/>
          <w:sz w:val="20"/>
          <w:szCs w:val="20"/>
          <w:lang w:val="en-US"/>
        </w:rPr>
      </w:pPr>
    </w:p>
    <w:p w14:paraId="0F3803B8" w14:textId="77777777" w:rsidR="00EE25EE" w:rsidRPr="00E7021A" w:rsidRDefault="00EE25EE" w:rsidP="00EE25EE">
      <w:pPr>
        <w:widowControl w:val="0"/>
        <w:rPr>
          <w:rFonts w:eastAsia="Proxima Nova"/>
          <w:sz w:val="20"/>
          <w:szCs w:val="20"/>
          <w:lang w:val="en-US"/>
        </w:rPr>
      </w:pPr>
    </w:p>
    <w:p w14:paraId="0F3803B9" w14:textId="77777777" w:rsidR="00EE25EE" w:rsidRPr="00E7021A" w:rsidRDefault="00EE25EE" w:rsidP="00EE25EE">
      <w:pPr>
        <w:widowControl w:val="0"/>
        <w:rPr>
          <w:rFonts w:eastAsia="Proxima Nova"/>
          <w:sz w:val="20"/>
          <w:szCs w:val="20"/>
          <w:lang w:val="en-US"/>
        </w:rPr>
      </w:pPr>
    </w:p>
    <w:p w14:paraId="0F3803BA" w14:textId="77777777" w:rsidR="00EE25EE" w:rsidRPr="00E7021A" w:rsidRDefault="00EE25EE" w:rsidP="00EE25EE">
      <w:pPr>
        <w:widowControl w:val="0"/>
        <w:rPr>
          <w:rFonts w:eastAsia="Proxima Nova"/>
          <w:sz w:val="20"/>
          <w:szCs w:val="20"/>
          <w:lang w:val="en-US"/>
        </w:rPr>
      </w:pPr>
    </w:p>
    <w:p w14:paraId="0F3803BB" w14:textId="77777777" w:rsidR="00EE25EE" w:rsidRPr="00E7021A" w:rsidRDefault="00EE25EE" w:rsidP="00EE25EE">
      <w:pPr>
        <w:widowControl w:val="0"/>
        <w:rPr>
          <w:rFonts w:eastAsia="Proxima Nova"/>
          <w:sz w:val="20"/>
          <w:szCs w:val="20"/>
          <w:lang w:val="en-US"/>
        </w:rPr>
      </w:pPr>
    </w:p>
    <w:p w14:paraId="0F3803BC" w14:textId="77777777" w:rsidR="00EE25EE" w:rsidRPr="00E7021A" w:rsidRDefault="00EE25EE" w:rsidP="00EE25EE">
      <w:pPr>
        <w:widowControl w:val="0"/>
        <w:rPr>
          <w:rFonts w:eastAsia="Proxima Nova"/>
          <w:sz w:val="20"/>
          <w:szCs w:val="20"/>
          <w:lang w:val="en-US"/>
        </w:rPr>
      </w:pPr>
    </w:p>
    <w:p w14:paraId="0F3803BD" w14:textId="77777777" w:rsidR="00EE25EE" w:rsidRPr="00E7021A" w:rsidRDefault="00EE25EE" w:rsidP="00EE25EE">
      <w:pPr>
        <w:widowControl w:val="0"/>
        <w:rPr>
          <w:rFonts w:eastAsia="Proxima Nova"/>
          <w:sz w:val="20"/>
          <w:szCs w:val="20"/>
          <w:lang w:val="en-US"/>
        </w:rPr>
      </w:pPr>
    </w:p>
    <w:p w14:paraId="0F3803BE" w14:textId="77777777" w:rsidR="00EE25EE" w:rsidRPr="00E7021A" w:rsidRDefault="00EE25EE" w:rsidP="00EE25EE">
      <w:pPr>
        <w:widowControl w:val="0"/>
        <w:rPr>
          <w:rFonts w:eastAsia="Proxima Nova"/>
          <w:sz w:val="20"/>
          <w:szCs w:val="20"/>
          <w:lang w:val="en-US"/>
        </w:rPr>
      </w:pPr>
    </w:p>
    <w:p w14:paraId="0F3803BF" w14:textId="77777777" w:rsidR="00EE25EE" w:rsidRPr="00E7021A" w:rsidRDefault="00EE25EE" w:rsidP="00EE25EE">
      <w:pPr>
        <w:widowControl w:val="0"/>
        <w:rPr>
          <w:rFonts w:eastAsia="Proxima Nova"/>
          <w:sz w:val="20"/>
          <w:szCs w:val="20"/>
          <w:lang w:val="en-US"/>
        </w:rPr>
      </w:pPr>
    </w:p>
    <w:p w14:paraId="0F3803C0" w14:textId="77777777" w:rsidR="00EE25EE" w:rsidRPr="00E7021A" w:rsidRDefault="00EE25EE" w:rsidP="00EE25EE">
      <w:pPr>
        <w:widowControl w:val="0"/>
        <w:rPr>
          <w:rFonts w:eastAsia="Proxima Nova"/>
          <w:sz w:val="20"/>
          <w:szCs w:val="20"/>
          <w:lang w:val="en-US"/>
        </w:rPr>
      </w:pPr>
    </w:p>
    <w:p w14:paraId="0F3803C1" w14:textId="77777777" w:rsidR="00EE25EE" w:rsidRPr="00E7021A" w:rsidRDefault="00EE25EE" w:rsidP="00EE25EE">
      <w:pPr>
        <w:widowControl w:val="0"/>
        <w:rPr>
          <w:rFonts w:eastAsia="Proxima Nova"/>
          <w:sz w:val="20"/>
          <w:szCs w:val="20"/>
          <w:lang w:val="en-US"/>
        </w:rPr>
      </w:pPr>
    </w:p>
    <w:p w14:paraId="0F3803C2" w14:textId="77777777" w:rsidR="00EE25EE" w:rsidRPr="00E7021A" w:rsidRDefault="00EE25EE" w:rsidP="00EE25EE">
      <w:pPr>
        <w:widowControl w:val="0"/>
        <w:rPr>
          <w:rFonts w:eastAsia="Proxima Nova"/>
          <w:sz w:val="20"/>
          <w:szCs w:val="20"/>
          <w:lang w:val="en-US"/>
        </w:rPr>
      </w:pPr>
    </w:p>
    <w:p w14:paraId="0F3803C3" w14:textId="77777777" w:rsidR="00EE25EE" w:rsidRPr="00E7021A" w:rsidRDefault="00EE25EE" w:rsidP="00EE25EE">
      <w:pPr>
        <w:widowControl w:val="0"/>
        <w:rPr>
          <w:rFonts w:eastAsia="Proxima Nova"/>
          <w:sz w:val="20"/>
          <w:szCs w:val="20"/>
          <w:lang w:val="en-US"/>
        </w:rPr>
      </w:pPr>
    </w:p>
    <w:p w14:paraId="0F3803C4" w14:textId="77777777" w:rsidR="00EE25EE" w:rsidRPr="00E7021A" w:rsidRDefault="00EE25EE" w:rsidP="00EE25EE">
      <w:pPr>
        <w:widowControl w:val="0"/>
        <w:rPr>
          <w:rFonts w:eastAsia="Proxima Nova"/>
          <w:sz w:val="20"/>
          <w:szCs w:val="20"/>
          <w:lang w:val="en-US"/>
        </w:rPr>
      </w:pPr>
    </w:p>
    <w:p w14:paraId="0F3803C5" w14:textId="77777777" w:rsidR="00EE25EE" w:rsidRPr="00E7021A" w:rsidRDefault="00EE25EE" w:rsidP="00EE25EE">
      <w:pPr>
        <w:widowControl w:val="0"/>
        <w:rPr>
          <w:rFonts w:eastAsia="Proxima Nova"/>
          <w:sz w:val="20"/>
          <w:szCs w:val="20"/>
          <w:lang w:val="en-US"/>
        </w:rPr>
      </w:pPr>
    </w:p>
    <w:p w14:paraId="0F3803C6" w14:textId="77777777" w:rsidR="00EE25EE" w:rsidRDefault="00EE25EE" w:rsidP="00EE25EE">
      <w:pPr>
        <w:widowControl w:val="0"/>
        <w:rPr>
          <w:rFonts w:eastAsia="Proxima Nova"/>
          <w:sz w:val="20"/>
          <w:szCs w:val="20"/>
          <w:lang w:val="en-US"/>
        </w:rPr>
      </w:pPr>
    </w:p>
    <w:p w14:paraId="0F3803C7" w14:textId="77777777" w:rsidR="00F525B3" w:rsidRDefault="00F525B3" w:rsidP="00EE25EE">
      <w:pPr>
        <w:widowControl w:val="0"/>
        <w:rPr>
          <w:rFonts w:eastAsia="Proxima Nova"/>
          <w:sz w:val="20"/>
          <w:szCs w:val="20"/>
          <w:lang w:val="en-US"/>
        </w:rPr>
      </w:pPr>
    </w:p>
    <w:p w14:paraId="0F3803C8" w14:textId="77777777" w:rsidR="00F525B3" w:rsidRDefault="00F525B3" w:rsidP="00EE25EE">
      <w:pPr>
        <w:widowControl w:val="0"/>
        <w:rPr>
          <w:rFonts w:eastAsia="Proxima Nova"/>
          <w:sz w:val="20"/>
          <w:szCs w:val="20"/>
          <w:lang w:val="en-US"/>
        </w:rPr>
      </w:pPr>
    </w:p>
    <w:p w14:paraId="0F3803C9" w14:textId="77777777" w:rsidR="00F525B3" w:rsidRDefault="00F525B3" w:rsidP="00EE25EE">
      <w:pPr>
        <w:widowControl w:val="0"/>
        <w:rPr>
          <w:rFonts w:eastAsia="Proxima Nova"/>
          <w:sz w:val="20"/>
          <w:szCs w:val="20"/>
          <w:lang w:val="en-US"/>
        </w:rPr>
      </w:pPr>
    </w:p>
    <w:p w14:paraId="0F3803CA" w14:textId="77777777" w:rsidR="00F525B3" w:rsidRDefault="00F525B3" w:rsidP="00EE25EE">
      <w:pPr>
        <w:widowControl w:val="0"/>
        <w:rPr>
          <w:rFonts w:eastAsia="Proxima Nova"/>
          <w:sz w:val="20"/>
          <w:szCs w:val="20"/>
          <w:lang w:val="en-US"/>
        </w:rPr>
      </w:pPr>
    </w:p>
    <w:p w14:paraId="0F3803CB" w14:textId="77777777" w:rsidR="00F525B3" w:rsidRDefault="00F525B3" w:rsidP="00EE25EE">
      <w:pPr>
        <w:widowControl w:val="0"/>
        <w:rPr>
          <w:rFonts w:eastAsia="Proxima Nova"/>
          <w:sz w:val="20"/>
          <w:szCs w:val="20"/>
          <w:lang w:val="en-US"/>
        </w:rPr>
      </w:pPr>
    </w:p>
    <w:p w14:paraId="0F3803CC" w14:textId="77777777" w:rsidR="00F525B3" w:rsidRPr="00E7021A" w:rsidRDefault="00F525B3" w:rsidP="00EE25EE">
      <w:pPr>
        <w:widowControl w:val="0"/>
        <w:rPr>
          <w:rFonts w:eastAsia="Proxima Nova"/>
          <w:sz w:val="20"/>
          <w:szCs w:val="20"/>
          <w:lang w:val="en-US"/>
        </w:rPr>
      </w:pPr>
    </w:p>
    <w:p w14:paraId="0F3803CD" w14:textId="77777777" w:rsidR="00EE25EE" w:rsidRPr="00E7021A" w:rsidRDefault="00EE25EE" w:rsidP="00EE25EE">
      <w:pPr>
        <w:widowControl w:val="0"/>
        <w:rPr>
          <w:rFonts w:eastAsia="Proxima Nova"/>
          <w:sz w:val="20"/>
          <w:szCs w:val="20"/>
          <w:lang w:val="en-US"/>
        </w:rPr>
      </w:pPr>
    </w:p>
    <w:p w14:paraId="0F3803CE" w14:textId="77777777" w:rsidR="00EE25EE" w:rsidRPr="00E7021A" w:rsidRDefault="00EE25EE" w:rsidP="00EE25EE">
      <w:pPr>
        <w:widowControl w:val="0"/>
        <w:rPr>
          <w:rFonts w:eastAsia="Proxima Nova"/>
          <w:sz w:val="20"/>
          <w:szCs w:val="20"/>
          <w:lang w:val="en-US"/>
        </w:rPr>
      </w:pPr>
    </w:p>
    <w:p w14:paraId="0F3803CF" w14:textId="77777777" w:rsidR="00EE25EE" w:rsidRPr="00E7021A" w:rsidRDefault="00EE25EE" w:rsidP="00EE25EE">
      <w:pPr>
        <w:widowControl w:val="0"/>
        <w:rPr>
          <w:rFonts w:eastAsia="Proxima Nova"/>
          <w:sz w:val="20"/>
          <w:szCs w:val="20"/>
          <w:lang w:val="en-US"/>
        </w:rPr>
      </w:pPr>
    </w:p>
    <w:p w14:paraId="0F3803D0" w14:textId="77777777" w:rsidR="00EE25EE" w:rsidRPr="00E7021A" w:rsidRDefault="00EE25EE" w:rsidP="00EE25EE">
      <w:pPr>
        <w:pStyle w:val="Sansinterligne"/>
        <w:jc w:val="center"/>
        <w:outlineLvl w:val="0"/>
        <w:rPr>
          <w:rFonts w:ascii="Arial" w:hAnsi="Arial" w:cs="Arial"/>
          <w:b/>
          <w:color w:val="00B050"/>
          <w:sz w:val="20"/>
          <w:szCs w:val="20"/>
          <w:lang w:val="en-GB"/>
        </w:rPr>
      </w:pPr>
      <w:bookmarkStart w:id="2" w:name="_Toc489823269"/>
      <w:r w:rsidRPr="00E7021A">
        <w:rPr>
          <w:rFonts w:ascii="Arial" w:hAnsi="Arial" w:cs="Arial"/>
          <w:b/>
          <w:color w:val="00B050"/>
          <w:sz w:val="20"/>
          <w:szCs w:val="20"/>
          <w:lang w:val="en-GB"/>
        </w:rPr>
        <w:t>APPENDIX 2</w:t>
      </w:r>
      <w:bookmarkEnd w:id="2"/>
    </w:p>
    <w:p w14:paraId="0F3803D1" w14:textId="77777777" w:rsidR="00EE25EE" w:rsidRPr="00E7021A" w:rsidRDefault="00EE25EE" w:rsidP="00EE25EE">
      <w:pPr>
        <w:pStyle w:val="Sansinterligne"/>
        <w:jc w:val="center"/>
        <w:outlineLvl w:val="0"/>
        <w:rPr>
          <w:rFonts w:ascii="Arial" w:hAnsi="Arial" w:cs="Arial"/>
          <w:b/>
          <w:color w:val="00B050"/>
          <w:sz w:val="20"/>
          <w:szCs w:val="20"/>
          <w:lang w:val="en-GB"/>
        </w:rPr>
      </w:pPr>
      <w:bookmarkStart w:id="3" w:name="_Toc489823270"/>
      <w:r w:rsidRPr="00E7021A">
        <w:rPr>
          <w:rFonts w:ascii="Arial" w:hAnsi="Arial" w:cs="Arial"/>
          <w:b/>
          <w:color w:val="00B050"/>
          <w:sz w:val="20"/>
          <w:szCs w:val="20"/>
          <w:lang w:val="en-GB"/>
        </w:rPr>
        <w:t>INTERNAL COMPLAINT HANDLING PROCEDURE</w:t>
      </w:r>
      <w:bookmarkEnd w:id="3"/>
    </w:p>
    <w:p w14:paraId="0F3803D2" w14:textId="77777777" w:rsidR="00EE25EE" w:rsidRPr="00E7021A" w:rsidRDefault="00EE25EE" w:rsidP="00EE25EE">
      <w:pPr>
        <w:pStyle w:val="Sansinterligne"/>
        <w:jc w:val="both"/>
        <w:rPr>
          <w:rFonts w:ascii="Arial" w:hAnsi="Arial" w:cs="Arial"/>
          <w:sz w:val="20"/>
          <w:szCs w:val="20"/>
          <w:lang w:val="en-GB"/>
        </w:rPr>
      </w:pPr>
    </w:p>
    <w:p w14:paraId="0F3803D3" w14:textId="34A704BB"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 xml:space="preserve">If a Data Subject believes that a </w:t>
      </w:r>
      <w:proofErr w:type="spellStart"/>
      <w:r w:rsidR="00F00B44"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Subsidiary has not complied with </w:t>
      </w:r>
      <w:proofErr w:type="spellStart"/>
      <w:r w:rsidR="00F00B44" w:rsidRPr="00730281">
        <w:rPr>
          <w:rFonts w:ascii="Arial" w:hAnsi="Arial" w:cs="Arial"/>
          <w:sz w:val="20"/>
          <w:szCs w:val="20"/>
          <w:lang w:val="en-GB"/>
        </w:rPr>
        <w:t>TotalEnergies</w:t>
      </w:r>
      <w:proofErr w:type="spellEnd"/>
      <w:r w:rsidR="00F00B44">
        <w:rPr>
          <w:rFonts w:ascii="Arial" w:hAnsi="Arial" w:cs="Arial"/>
          <w:sz w:val="20"/>
          <w:szCs w:val="20"/>
          <w:lang w:val="en-GB"/>
        </w:rPr>
        <w:t>’</w:t>
      </w:r>
      <w:r w:rsidRPr="00E7021A">
        <w:rPr>
          <w:rFonts w:ascii="Arial" w:hAnsi="Arial" w:cs="Arial"/>
          <w:sz w:val="20"/>
          <w:szCs w:val="20"/>
          <w:lang w:val="en-GB"/>
        </w:rPr>
        <w:t xml:space="preserve"> BCRs, he/she may file a complaint in accordance with the complaint procedure set forth in the relevant privacy policy or contract or pursuant to the procedure described below.</w:t>
      </w:r>
    </w:p>
    <w:p w14:paraId="0F3803D4" w14:textId="77777777" w:rsidR="00EE25EE" w:rsidRPr="00E7021A" w:rsidRDefault="00EE25EE" w:rsidP="00EE25EE">
      <w:pPr>
        <w:pStyle w:val="Sansinterligne"/>
        <w:jc w:val="both"/>
        <w:rPr>
          <w:rFonts w:ascii="Arial" w:hAnsi="Arial" w:cs="Arial"/>
          <w:sz w:val="20"/>
          <w:szCs w:val="20"/>
          <w:lang w:val="en-GB"/>
        </w:rPr>
      </w:pPr>
    </w:p>
    <w:p w14:paraId="0F3803D5" w14:textId="77777777" w:rsidR="00EE25EE" w:rsidRPr="00E7021A" w:rsidRDefault="00EE25EE" w:rsidP="00EE25EE">
      <w:pPr>
        <w:pStyle w:val="Sansinterligne"/>
        <w:numPr>
          <w:ilvl w:val="0"/>
          <w:numId w:val="3"/>
        </w:numPr>
        <w:jc w:val="both"/>
        <w:rPr>
          <w:rFonts w:ascii="Arial" w:hAnsi="Arial" w:cs="Arial"/>
          <w:b/>
          <w:sz w:val="20"/>
          <w:szCs w:val="20"/>
          <w:lang w:val="en-GB"/>
        </w:rPr>
      </w:pPr>
      <w:r w:rsidRPr="00E7021A">
        <w:rPr>
          <w:rFonts w:ascii="Arial" w:hAnsi="Arial" w:cs="Arial"/>
          <w:b/>
          <w:sz w:val="20"/>
          <w:szCs w:val="20"/>
          <w:lang w:val="en-GB"/>
        </w:rPr>
        <w:t>How to make a complaint</w:t>
      </w:r>
    </w:p>
    <w:p w14:paraId="0F3803D6" w14:textId="77777777" w:rsidR="00EE25EE" w:rsidRPr="00E7021A" w:rsidRDefault="00EE25EE" w:rsidP="00EE25EE">
      <w:pPr>
        <w:pStyle w:val="Sansinterligne"/>
        <w:jc w:val="both"/>
        <w:rPr>
          <w:rFonts w:ascii="Arial" w:hAnsi="Arial" w:cs="Arial"/>
          <w:sz w:val="20"/>
          <w:szCs w:val="20"/>
          <w:lang w:val="en-GB"/>
        </w:rPr>
      </w:pPr>
    </w:p>
    <w:p w14:paraId="0F3803D7" w14:textId="77777777"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 xml:space="preserve">Data Subjects may file a complaint by </w:t>
      </w:r>
      <w:r w:rsidR="00B73474" w:rsidRPr="00E7021A">
        <w:rPr>
          <w:rFonts w:ascii="Arial" w:hAnsi="Arial" w:cs="Arial"/>
          <w:sz w:val="20"/>
          <w:szCs w:val="20"/>
          <w:lang w:val="en-GB"/>
        </w:rPr>
        <w:t>sending:</w:t>
      </w:r>
      <w:r w:rsidRPr="00E7021A">
        <w:rPr>
          <w:rFonts w:ascii="Arial" w:hAnsi="Arial" w:cs="Arial"/>
          <w:sz w:val="20"/>
          <w:szCs w:val="20"/>
          <w:lang w:val="en-GB"/>
        </w:rPr>
        <w:t xml:space="preserve"> </w:t>
      </w:r>
    </w:p>
    <w:p w14:paraId="0F3803D8" w14:textId="77777777" w:rsidR="00EE25EE" w:rsidRPr="00E7021A" w:rsidRDefault="00EE25EE" w:rsidP="00EE25EE">
      <w:pPr>
        <w:pStyle w:val="Sansinterligne"/>
        <w:jc w:val="both"/>
        <w:rPr>
          <w:rFonts w:ascii="Arial" w:hAnsi="Arial" w:cs="Arial"/>
          <w:sz w:val="20"/>
          <w:szCs w:val="20"/>
          <w:lang w:val="en-GB"/>
        </w:rPr>
      </w:pPr>
    </w:p>
    <w:p w14:paraId="0F3803D9" w14:textId="29468667" w:rsidR="00EE25EE" w:rsidRPr="00E7021A" w:rsidRDefault="00E97CC4" w:rsidP="00EE25EE">
      <w:pPr>
        <w:pStyle w:val="Sansinterligne"/>
        <w:numPr>
          <w:ilvl w:val="0"/>
          <w:numId w:val="2"/>
        </w:numPr>
        <w:jc w:val="both"/>
        <w:rPr>
          <w:rFonts w:ascii="Arial" w:hAnsi="Arial" w:cs="Arial"/>
          <w:sz w:val="20"/>
          <w:szCs w:val="20"/>
          <w:lang w:val="en-GB"/>
        </w:rPr>
      </w:pPr>
      <w:r>
        <w:rPr>
          <w:rFonts w:ascii="Arial" w:hAnsi="Arial" w:cs="Arial"/>
          <w:sz w:val="20"/>
          <w:szCs w:val="20"/>
          <w:lang w:val="en-GB"/>
        </w:rPr>
        <w:t>An e-mail to</w:t>
      </w:r>
      <w:r w:rsidR="00EE25EE" w:rsidRPr="00E7021A">
        <w:rPr>
          <w:rFonts w:ascii="Arial" w:hAnsi="Arial" w:cs="Arial"/>
          <w:sz w:val="20"/>
          <w:szCs w:val="20"/>
          <w:lang w:val="en-GB"/>
        </w:rPr>
        <w:t xml:space="preserve">: </w:t>
      </w:r>
      <w:hyperlink r:id="rId19" w:history="1">
        <w:r w:rsidR="00F00B44" w:rsidRPr="00D3286A">
          <w:rPr>
            <w:rStyle w:val="Lienhypertexte"/>
            <w:rFonts w:ascii="Arial" w:hAnsi="Arial" w:cs="Arial"/>
            <w:sz w:val="20"/>
            <w:szCs w:val="20"/>
            <w:lang w:val="en-US"/>
          </w:rPr>
          <w:t>data-protection@totalenergies.com</w:t>
        </w:r>
      </w:hyperlink>
    </w:p>
    <w:p w14:paraId="0F3803DA" w14:textId="77777777" w:rsidR="00EE25EE" w:rsidRPr="00E7021A" w:rsidRDefault="00EE25EE" w:rsidP="00EE25EE">
      <w:pPr>
        <w:pStyle w:val="Sansinterligne"/>
        <w:jc w:val="both"/>
        <w:rPr>
          <w:rFonts w:ascii="Arial" w:hAnsi="Arial" w:cs="Arial"/>
          <w:sz w:val="20"/>
          <w:szCs w:val="20"/>
          <w:lang w:val="en-GB"/>
        </w:rPr>
      </w:pPr>
    </w:p>
    <w:p w14:paraId="0F3803DB" w14:textId="77777777" w:rsidR="00EE25EE" w:rsidRPr="00E7021A" w:rsidRDefault="00EE25EE" w:rsidP="00EE25EE">
      <w:pPr>
        <w:pStyle w:val="Sansinterligne"/>
        <w:ind w:firstLine="720"/>
        <w:jc w:val="both"/>
        <w:rPr>
          <w:rFonts w:ascii="Arial" w:hAnsi="Arial" w:cs="Arial"/>
          <w:sz w:val="20"/>
          <w:szCs w:val="20"/>
          <w:lang w:val="en-GB"/>
        </w:rPr>
      </w:pPr>
      <w:r w:rsidRPr="00E7021A">
        <w:rPr>
          <w:rFonts w:ascii="Arial" w:hAnsi="Arial" w:cs="Arial"/>
          <w:sz w:val="20"/>
          <w:szCs w:val="20"/>
          <w:lang w:val="en-GB"/>
        </w:rPr>
        <w:t>or</w:t>
      </w:r>
    </w:p>
    <w:p w14:paraId="0F3803DC" w14:textId="77777777" w:rsidR="00EE25EE" w:rsidRPr="00E7021A" w:rsidRDefault="00EE25EE" w:rsidP="00EE25EE">
      <w:pPr>
        <w:pStyle w:val="Sansinterligne"/>
        <w:jc w:val="both"/>
        <w:rPr>
          <w:rFonts w:ascii="Arial" w:hAnsi="Arial" w:cs="Arial"/>
          <w:sz w:val="20"/>
          <w:szCs w:val="20"/>
          <w:lang w:val="en-GB"/>
        </w:rPr>
      </w:pPr>
    </w:p>
    <w:p w14:paraId="0F3803DD" w14:textId="128F26F4" w:rsidR="00EE25EE" w:rsidRPr="00E7021A" w:rsidRDefault="00EE25EE" w:rsidP="00EE25EE">
      <w:pPr>
        <w:pStyle w:val="Sansinterligne"/>
        <w:numPr>
          <w:ilvl w:val="0"/>
          <w:numId w:val="2"/>
        </w:numPr>
        <w:jc w:val="both"/>
        <w:rPr>
          <w:rFonts w:ascii="Arial" w:hAnsi="Arial" w:cs="Arial"/>
          <w:sz w:val="20"/>
          <w:szCs w:val="20"/>
        </w:rPr>
      </w:pPr>
      <w:r w:rsidRPr="00E7021A">
        <w:rPr>
          <w:rFonts w:ascii="Arial" w:hAnsi="Arial" w:cs="Arial"/>
          <w:sz w:val="20"/>
          <w:szCs w:val="20"/>
        </w:rPr>
        <w:t xml:space="preserve">A </w:t>
      </w:r>
      <w:proofErr w:type="spellStart"/>
      <w:r w:rsidRPr="00E7021A">
        <w:rPr>
          <w:rFonts w:ascii="Arial" w:hAnsi="Arial" w:cs="Arial"/>
          <w:sz w:val="20"/>
          <w:szCs w:val="20"/>
        </w:rPr>
        <w:t>letter</w:t>
      </w:r>
      <w:proofErr w:type="spellEnd"/>
      <w:r w:rsidRPr="00E7021A">
        <w:rPr>
          <w:rFonts w:ascii="Arial" w:hAnsi="Arial" w:cs="Arial"/>
          <w:sz w:val="20"/>
          <w:szCs w:val="20"/>
        </w:rPr>
        <w:t xml:space="preserve"> to TOTAL</w:t>
      </w:r>
      <w:r w:rsidR="00F00B44">
        <w:rPr>
          <w:rFonts w:ascii="Arial" w:hAnsi="Arial" w:cs="Arial"/>
          <w:sz w:val="20"/>
          <w:szCs w:val="20"/>
        </w:rPr>
        <w:t>ENERGIES</w:t>
      </w:r>
      <w:r w:rsidRPr="00E7021A">
        <w:rPr>
          <w:rFonts w:ascii="Arial" w:hAnsi="Arial" w:cs="Arial"/>
          <w:sz w:val="20"/>
          <w:szCs w:val="20"/>
        </w:rPr>
        <w:t xml:space="preserve"> – DATA PROTECTION, Tour Coupole, 2 place Jean Millier, Arche Nord Coupole/Regnault, 92078 PARIS LA DEFENSE CEDEX.</w:t>
      </w:r>
    </w:p>
    <w:p w14:paraId="0F3803DE" w14:textId="77777777" w:rsidR="00EE25EE" w:rsidRPr="00E7021A" w:rsidRDefault="00EE25EE" w:rsidP="00EE25EE">
      <w:pPr>
        <w:pStyle w:val="Sansinterligne"/>
        <w:jc w:val="both"/>
        <w:rPr>
          <w:rFonts w:ascii="Arial" w:hAnsi="Arial" w:cs="Arial"/>
          <w:sz w:val="20"/>
          <w:szCs w:val="20"/>
        </w:rPr>
      </w:pPr>
    </w:p>
    <w:p w14:paraId="0F3803DF" w14:textId="77777777"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 xml:space="preserve">The complaint should clearly provide as much detail as possible about the issue raised, </w:t>
      </w:r>
      <w:r w:rsidR="00B73474" w:rsidRPr="00E7021A">
        <w:rPr>
          <w:rFonts w:ascii="Arial" w:hAnsi="Arial" w:cs="Arial"/>
          <w:sz w:val="20"/>
          <w:szCs w:val="20"/>
          <w:lang w:val="en-GB"/>
        </w:rPr>
        <w:t>including:</w:t>
      </w:r>
      <w:r w:rsidRPr="00E7021A">
        <w:rPr>
          <w:rFonts w:ascii="Arial" w:hAnsi="Arial" w:cs="Arial"/>
          <w:sz w:val="20"/>
          <w:szCs w:val="20"/>
          <w:lang w:val="en-GB"/>
        </w:rPr>
        <w:t xml:space="preserve"> </w:t>
      </w:r>
    </w:p>
    <w:p w14:paraId="0F3803E0" w14:textId="77777777" w:rsidR="00EE25EE" w:rsidRPr="00E7021A" w:rsidRDefault="00EE25EE" w:rsidP="00EE25EE">
      <w:pPr>
        <w:pStyle w:val="Sansinterligne"/>
        <w:jc w:val="both"/>
        <w:rPr>
          <w:rFonts w:ascii="Arial" w:hAnsi="Arial" w:cs="Arial"/>
          <w:sz w:val="20"/>
          <w:szCs w:val="20"/>
          <w:lang w:val="en-GB"/>
        </w:rPr>
      </w:pPr>
    </w:p>
    <w:p w14:paraId="0F3803E1" w14:textId="6B6FED4E" w:rsidR="00EE25EE" w:rsidRPr="00E7021A" w:rsidRDefault="00EE25EE" w:rsidP="00EE25EE">
      <w:pPr>
        <w:pStyle w:val="Sansinterligne"/>
        <w:numPr>
          <w:ilvl w:val="0"/>
          <w:numId w:val="2"/>
        </w:numPr>
        <w:jc w:val="both"/>
        <w:rPr>
          <w:rFonts w:ascii="Arial" w:hAnsi="Arial" w:cs="Arial"/>
          <w:sz w:val="20"/>
          <w:szCs w:val="20"/>
          <w:lang w:val="en-GB"/>
        </w:rPr>
      </w:pPr>
      <w:r w:rsidRPr="00E7021A">
        <w:rPr>
          <w:rFonts w:ascii="Arial" w:hAnsi="Arial" w:cs="Arial"/>
          <w:sz w:val="20"/>
          <w:szCs w:val="20"/>
          <w:lang w:val="en-GB"/>
        </w:rPr>
        <w:t xml:space="preserve">The country and the </w:t>
      </w:r>
      <w:proofErr w:type="spellStart"/>
      <w:r w:rsidR="00F00B44"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Subsidiary concerned, the Data Subject’s understanding of the violation of the BCRs, the redress </w:t>
      </w:r>
      <w:proofErr w:type="gramStart"/>
      <w:r w:rsidR="00E97CC4">
        <w:rPr>
          <w:rFonts w:ascii="Arial" w:hAnsi="Arial" w:cs="Arial"/>
          <w:sz w:val="20"/>
          <w:szCs w:val="20"/>
          <w:lang w:val="en-GB"/>
        </w:rPr>
        <w:t>requested</w:t>
      </w:r>
      <w:r w:rsidRPr="00E7021A">
        <w:rPr>
          <w:rFonts w:ascii="Arial" w:hAnsi="Arial" w:cs="Arial"/>
          <w:sz w:val="20"/>
          <w:szCs w:val="20"/>
          <w:lang w:val="en-GB"/>
        </w:rPr>
        <w:t>;</w:t>
      </w:r>
      <w:proofErr w:type="gramEnd"/>
    </w:p>
    <w:p w14:paraId="0F3803E2" w14:textId="77777777" w:rsidR="00EE25EE" w:rsidRPr="00E7021A" w:rsidRDefault="00EE25EE" w:rsidP="00EE25EE">
      <w:pPr>
        <w:pStyle w:val="Sansinterligne"/>
        <w:jc w:val="both"/>
        <w:rPr>
          <w:rFonts w:ascii="Arial" w:hAnsi="Arial" w:cs="Arial"/>
          <w:sz w:val="20"/>
          <w:szCs w:val="20"/>
          <w:lang w:val="en-GB"/>
        </w:rPr>
      </w:pPr>
    </w:p>
    <w:p w14:paraId="0F3803E3" w14:textId="654E6598" w:rsidR="00EE25EE" w:rsidRPr="00E7021A" w:rsidRDefault="00EE25EE" w:rsidP="00EE25EE">
      <w:pPr>
        <w:pStyle w:val="Sansinterligne"/>
        <w:numPr>
          <w:ilvl w:val="0"/>
          <w:numId w:val="2"/>
        </w:numPr>
        <w:jc w:val="both"/>
        <w:rPr>
          <w:rFonts w:ascii="Arial" w:hAnsi="Arial" w:cs="Arial"/>
          <w:sz w:val="20"/>
          <w:szCs w:val="20"/>
          <w:lang w:val="en-GB"/>
        </w:rPr>
      </w:pPr>
      <w:r w:rsidRPr="00E7021A">
        <w:rPr>
          <w:rFonts w:ascii="Arial" w:hAnsi="Arial" w:cs="Arial"/>
          <w:sz w:val="20"/>
          <w:szCs w:val="20"/>
          <w:lang w:val="en-GB"/>
        </w:rPr>
        <w:t>The Data Subject’s full name and contact details as well as a copy of his/her identity card or any oth</w:t>
      </w:r>
      <w:r w:rsidR="00E97CC4">
        <w:rPr>
          <w:rFonts w:ascii="Arial" w:hAnsi="Arial" w:cs="Arial"/>
          <w:sz w:val="20"/>
          <w:szCs w:val="20"/>
          <w:lang w:val="en-GB"/>
        </w:rPr>
        <w:t xml:space="preserve">er identifying </w:t>
      </w:r>
      <w:proofErr w:type="gramStart"/>
      <w:r w:rsidR="00E97CC4">
        <w:rPr>
          <w:rFonts w:ascii="Arial" w:hAnsi="Arial" w:cs="Arial"/>
          <w:sz w:val="20"/>
          <w:szCs w:val="20"/>
          <w:lang w:val="en-GB"/>
        </w:rPr>
        <w:t>document</w:t>
      </w:r>
      <w:r w:rsidRPr="00E7021A">
        <w:rPr>
          <w:rFonts w:ascii="Arial" w:hAnsi="Arial" w:cs="Arial"/>
          <w:sz w:val="20"/>
          <w:szCs w:val="20"/>
          <w:lang w:val="en-GB"/>
        </w:rPr>
        <w:t>;</w:t>
      </w:r>
      <w:proofErr w:type="gramEnd"/>
    </w:p>
    <w:p w14:paraId="0F3803E4" w14:textId="77777777" w:rsidR="00EE25EE" w:rsidRPr="00E7021A" w:rsidRDefault="00EE25EE" w:rsidP="00EE25EE">
      <w:pPr>
        <w:pStyle w:val="Sansinterligne"/>
        <w:jc w:val="both"/>
        <w:rPr>
          <w:rFonts w:ascii="Arial" w:hAnsi="Arial" w:cs="Arial"/>
          <w:sz w:val="20"/>
          <w:szCs w:val="20"/>
          <w:lang w:val="en-GB"/>
        </w:rPr>
      </w:pPr>
    </w:p>
    <w:p w14:paraId="0F3803E5" w14:textId="77777777" w:rsidR="00EE25EE" w:rsidRPr="00E7021A" w:rsidRDefault="00EE25EE" w:rsidP="00EE25EE">
      <w:pPr>
        <w:pStyle w:val="Sansinterligne"/>
        <w:numPr>
          <w:ilvl w:val="0"/>
          <w:numId w:val="2"/>
        </w:numPr>
        <w:jc w:val="both"/>
        <w:rPr>
          <w:rFonts w:ascii="Arial" w:hAnsi="Arial" w:cs="Arial"/>
          <w:sz w:val="20"/>
          <w:szCs w:val="20"/>
          <w:lang w:val="en-GB"/>
        </w:rPr>
      </w:pPr>
      <w:r w:rsidRPr="00E7021A">
        <w:rPr>
          <w:rFonts w:ascii="Arial" w:hAnsi="Arial" w:cs="Arial"/>
          <w:sz w:val="20"/>
          <w:szCs w:val="20"/>
          <w:lang w:val="en-GB"/>
        </w:rPr>
        <w:t>Any previous correspondence on this specific issue.</w:t>
      </w:r>
    </w:p>
    <w:p w14:paraId="0F3803E6" w14:textId="77777777" w:rsidR="00EE25EE" w:rsidRPr="00E7021A" w:rsidRDefault="00EE25EE" w:rsidP="00EE25EE">
      <w:pPr>
        <w:pStyle w:val="Sansinterligne"/>
        <w:jc w:val="both"/>
        <w:rPr>
          <w:rFonts w:ascii="Arial" w:hAnsi="Arial" w:cs="Arial"/>
          <w:sz w:val="20"/>
          <w:szCs w:val="20"/>
          <w:lang w:val="en-GB"/>
        </w:rPr>
      </w:pPr>
    </w:p>
    <w:p w14:paraId="0F3803E7" w14:textId="3366072A" w:rsidR="00EE25EE" w:rsidRPr="00964494" w:rsidRDefault="00964494" w:rsidP="00EE25EE">
      <w:pPr>
        <w:pStyle w:val="Sansinterligne"/>
        <w:numPr>
          <w:ilvl w:val="0"/>
          <w:numId w:val="3"/>
        </w:numPr>
        <w:jc w:val="both"/>
        <w:rPr>
          <w:rFonts w:ascii="Arial" w:hAnsi="Arial" w:cs="Arial"/>
          <w:b/>
          <w:bCs/>
          <w:sz w:val="20"/>
          <w:szCs w:val="20"/>
          <w:lang w:val="en-GB"/>
        </w:rPr>
      </w:pPr>
      <w:proofErr w:type="spellStart"/>
      <w:r w:rsidRPr="00964494">
        <w:rPr>
          <w:rFonts w:ascii="Arial" w:hAnsi="Arial" w:cs="Arial"/>
          <w:b/>
          <w:bCs/>
          <w:sz w:val="20"/>
          <w:szCs w:val="20"/>
          <w:lang w:val="en-GB"/>
        </w:rPr>
        <w:t>TotalEnergies</w:t>
      </w:r>
      <w:r w:rsidR="00EE25EE" w:rsidRPr="00964494">
        <w:rPr>
          <w:rFonts w:ascii="Arial" w:hAnsi="Arial" w:cs="Arial"/>
          <w:b/>
          <w:bCs/>
          <w:sz w:val="20"/>
          <w:szCs w:val="20"/>
          <w:lang w:val="en-GB"/>
        </w:rPr>
        <w:t>’response</w:t>
      </w:r>
      <w:proofErr w:type="spellEnd"/>
    </w:p>
    <w:p w14:paraId="0F3803E8" w14:textId="77777777" w:rsidR="00EE25EE" w:rsidRPr="00E7021A" w:rsidRDefault="00EE25EE" w:rsidP="00EE25EE">
      <w:pPr>
        <w:pStyle w:val="Sansinterligne"/>
        <w:jc w:val="both"/>
        <w:rPr>
          <w:rFonts w:ascii="Arial" w:hAnsi="Arial" w:cs="Arial"/>
          <w:sz w:val="20"/>
          <w:szCs w:val="20"/>
          <w:lang w:val="en-GB"/>
        </w:rPr>
      </w:pPr>
    </w:p>
    <w:p w14:paraId="0F3803E9" w14:textId="0B5013C6"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 xml:space="preserve">Within three months of </w:t>
      </w:r>
      <w:proofErr w:type="spellStart"/>
      <w:r w:rsidR="00964494" w:rsidRPr="00730281">
        <w:rPr>
          <w:rFonts w:ascii="Arial" w:hAnsi="Arial" w:cs="Arial"/>
          <w:sz w:val="20"/>
          <w:szCs w:val="20"/>
          <w:lang w:val="en-GB"/>
        </w:rPr>
        <w:t>TotalEnergies</w:t>
      </w:r>
      <w:proofErr w:type="spellEnd"/>
      <w:r w:rsidR="00964494">
        <w:rPr>
          <w:rFonts w:ascii="Arial" w:hAnsi="Arial" w:cs="Arial"/>
          <w:sz w:val="20"/>
          <w:szCs w:val="20"/>
          <w:lang w:val="en-GB"/>
        </w:rPr>
        <w:t xml:space="preserve"> </w:t>
      </w:r>
      <w:r w:rsidRPr="00E7021A">
        <w:rPr>
          <w:rFonts w:ascii="Arial" w:hAnsi="Arial" w:cs="Arial"/>
          <w:sz w:val="20"/>
          <w:szCs w:val="20"/>
          <w:lang w:val="en-GB"/>
        </w:rPr>
        <w:t xml:space="preserve">receiving a complaint, the appropriate Branch Data Privacy Lead (“BDPL”) shall inform the Data Subject in writing of the admissibility of the </w:t>
      </w:r>
      <w:r w:rsidR="00B73474" w:rsidRPr="00E7021A">
        <w:rPr>
          <w:rFonts w:ascii="Arial" w:hAnsi="Arial" w:cs="Arial"/>
          <w:sz w:val="20"/>
          <w:szCs w:val="20"/>
          <w:lang w:val="en-GB"/>
        </w:rPr>
        <w:t>complaint;</w:t>
      </w:r>
      <w:r w:rsidRPr="00E7021A">
        <w:rPr>
          <w:rFonts w:ascii="Arial" w:hAnsi="Arial" w:cs="Arial"/>
          <w:sz w:val="20"/>
          <w:szCs w:val="20"/>
          <w:lang w:val="en-GB"/>
        </w:rPr>
        <w:t xml:space="preserve"> and if the latter is admissible, of the corrective actions that</w:t>
      </w:r>
      <w:r w:rsidR="00964494">
        <w:rPr>
          <w:rFonts w:ascii="Arial" w:hAnsi="Arial" w:cs="Arial"/>
          <w:sz w:val="20"/>
          <w:szCs w:val="20"/>
          <w:lang w:val="en-GB"/>
        </w:rPr>
        <w:t xml:space="preserve"> </w:t>
      </w:r>
      <w:proofErr w:type="spellStart"/>
      <w:r w:rsidR="00964494"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has taken or will take in response. The appropriate BDPL shall ensure that, if necessary, appropriate corrective actions are taken to achieve compliance with </w:t>
      </w:r>
      <w:r w:rsidR="004B7518">
        <w:rPr>
          <w:rFonts w:ascii="Arial" w:hAnsi="Arial" w:cs="Arial"/>
          <w:sz w:val="20"/>
          <w:szCs w:val="20"/>
          <w:lang w:val="en-GB"/>
        </w:rPr>
        <w:t>the</w:t>
      </w:r>
      <w:r w:rsidRPr="00E7021A">
        <w:rPr>
          <w:rFonts w:ascii="Arial" w:hAnsi="Arial" w:cs="Arial"/>
          <w:sz w:val="20"/>
          <w:szCs w:val="20"/>
          <w:lang w:val="en-GB"/>
        </w:rPr>
        <w:t xml:space="preserve"> BCRs.</w:t>
      </w:r>
    </w:p>
    <w:p w14:paraId="0F3803EA" w14:textId="77777777" w:rsidR="00EE25EE" w:rsidRPr="00E7021A" w:rsidRDefault="00EE25EE" w:rsidP="00EE25EE">
      <w:pPr>
        <w:pStyle w:val="Sansinterligne"/>
        <w:jc w:val="both"/>
        <w:rPr>
          <w:rFonts w:ascii="Arial" w:hAnsi="Arial" w:cs="Arial"/>
          <w:sz w:val="20"/>
          <w:szCs w:val="20"/>
          <w:lang w:val="en-GB"/>
        </w:rPr>
      </w:pPr>
    </w:p>
    <w:p w14:paraId="0F3803EB" w14:textId="77777777"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The appropriate BDPL shall send a copy of the complaint and any written reply to the Corporate Data Privacy Lead (“CDPL”).</w:t>
      </w:r>
    </w:p>
    <w:p w14:paraId="0F3803EC" w14:textId="77777777" w:rsidR="00EE25EE" w:rsidRPr="00E7021A" w:rsidRDefault="00EE25EE" w:rsidP="00EE25EE">
      <w:pPr>
        <w:pStyle w:val="Sansinterligne"/>
        <w:jc w:val="both"/>
        <w:rPr>
          <w:rFonts w:ascii="Arial" w:hAnsi="Arial" w:cs="Arial"/>
          <w:sz w:val="20"/>
          <w:szCs w:val="20"/>
          <w:lang w:val="en-GB"/>
        </w:rPr>
      </w:pPr>
    </w:p>
    <w:p w14:paraId="0F3803ED" w14:textId="77777777" w:rsidR="00EE25EE" w:rsidRPr="00E7021A" w:rsidRDefault="00EE25EE" w:rsidP="00EE25EE">
      <w:pPr>
        <w:pStyle w:val="Sansinterligne"/>
        <w:numPr>
          <w:ilvl w:val="0"/>
          <w:numId w:val="3"/>
        </w:numPr>
        <w:jc w:val="both"/>
        <w:rPr>
          <w:rFonts w:ascii="Arial" w:hAnsi="Arial" w:cs="Arial"/>
          <w:b/>
          <w:sz w:val="20"/>
          <w:szCs w:val="20"/>
          <w:lang w:val="en-GB"/>
        </w:rPr>
      </w:pPr>
      <w:r w:rsidRPr="00E7021A">
        <w:rPr>
          <w:rFonts w:ascii="Arial" w:hAnsi="Arial" w:cs="Arial"/>
          <w:b/>
          <w:sz w:val="20"/>
          <w:szCs w:val="20"/>
          <w:lang w:val="en-GB"/>
        </w:rPr>
        <w:t>Recourse process</w:t>
      </w:r>
    </w:p>
    <w:p w14:paraId="0F3803EE" w14:textId="77777777" w:rsidR="00EE25EE" w:rsidRPr="00E7021A" w:rsidRDefault="00EE25EE" w:rsidP="00EE25EE">
      <w:pPr>
        <w:pStyle w:val="Sansinterligne"/>
        <w:jc w:val="both"/>
        <w:rPr>
          <w:rFonts w:ascii="Arial" w:hAnsi="Arial" w:cs="Arial"/>
          <w:sz w:val="20"/>
          <w:szCs w:val="20"/>
          <w:lang w:val="en-GB"/>
        </w:rPr>
      </w:pPr>
    </w:p>
    <w:p w14:paraId="0F3803EF" w14:textId="77777777" w:rsidR="00EE25EE" w:rsidRPr="00E7021A" w:rsidRDefault="00EE25EE" w:rsidP="00EE25EE">
      <w:pPr>
        <w:pStyle w:val="Sansinterligne"/>
        <w:jc w:val="both"/>
        <w:rPr>
          <w:rFonts w:ascii="Arial" w:hAnsi="Arial" w:cs="Arial"/>
          <w:sz w:val="20"/>
          <w:szCs w:val="20"/>
          <w:lang w:val="en-GB"/>
        </w:rPr>
      </w:pPr>
      <w:r w:rsidRPr="00E7021A">
        <w:rPr>
          <w:rFonts w:ascii="Arial" w:hAnsi="Arial" w:cs="Arial"/>
          <w:sz w:val="20"/>
          <w:szCs w:val="20"/>
          <w:lang w:val="en-GB"/>
        </w:rPr>
        <w:t>If the Data Subject is not satisfied with the response from the appropriate BDPL (e.g., the complaint has been rejected), he/she may refer to the CDPL by sending an e-mail or letter as indicated above. The CDPL will review the complaint and reach a decision within three months of the data the request was received. Following this period, the CDPL will inform the Data Subject whether the initial response has been upheld or communicate a new response.</w:t>
      </w:r>
    </w:p>
    <w:p w14:paraId="0F3803F0" w14:textId="77777777" w:rsidR="00EE25EE" w:rsidRPr="00E7021A" w:rsidRDefault="00EE25EE" w:rsidP="00EE25EE">
      <w:pPr>
        <w:pStyle w:val="Sansinterligne"/>
        <w:jc w:val="both"/>
        <w:rPr>
          <w:rFonts w:ascii="Arial" w:hAnsi="Arial" w:cs="Arial"/>
          <w:sz w:val="20"/>
          <w:szCs w:val="20"/>
          <w:lang w:val="en-GB"/>
        </w:rPr>
      </w:pPr>
    </w:p>
    <w:p w14:paraId="0F3803F1" w14:textId="23F5DC8E" w:rsidR="00EE25EE" w:rsidRPr="00E7021A" w:rsidRDefault="00EE25EE" w:rsidP="00EE25EE">
      <w:pPr>
        <w:pStyle w:val="Sansinterligne"/>
        <w:jc w:val="both"/>
        <w:rPr>
          <w:rFonts w:ascii="Arial" w:hAnsi="Arial" w:cs="Arial"/>
          <w:sz w:val="20"/>
          <w:szCs w:val="20"/>
          <w:lang w:val="en-US"/>
        </w:rPr>
      </w:pPr>
      <w:r w:rsidRPr="00E7021A">
        <w:rPr>
          <w:rFonts w:ascii="Arial" w:hAnsi="Arial" w:cs="Arial"/>
          <w:sz w:val="20"/>
          <w:szCs w:val="20"/>
          <w:lang w:val="en-GB"/>
        </w:rPr>
        <w:t>The fact that Data Subjects may file a complaint with</w:t>
      </w:r>
      <w:r w:rsidR="00964494">
        <w:rPr>
          <w:rFonts w:ascii="Arial" w:hAnsi="Arial" w:cs="Arial"/>
          <w:sz w:val="20"/>
          <w:szCs w:val="20"/>
          <w:lang w:val="en-GB"/>
        </w:rPr>
        <w:t xml:space="preserve"> </w:t>
      </w:r>
      <w:proofErr w:type="spellStart"/>
      <w:r w:rsidR="00964494" w:rsidRPr="00730281">
        <w:rPr>
          <w:rFonts w:ascii="Arial" w:hAnsi="Arial" w:cs="Arial"/>
          <w:sz w:val="20"/>
          <w:szCs w:val="20"/>
          <w:lang w:val="en-GB"/>
        </w:rPr>
        <w:t>TotalEnergies</w:t>
      </w:r>
      <w:proofErr w:type="spellEnd"/>
      <w:r w:rsidRPr="00E7021A">
        <w:rPr>
          <w:rFonts w:ascii="Arial" w:hAnsi="Arial" w:cs="Arial"/>
          <w:sz w:val="20"/>
          <w:szCs w:val="20"/>
          <w:lang w:val="en-GB"/>
        </w:rPr>
        <w:t xml:space="preserve"> does not affect their right to lodge a complaint with the competent National Supervisory Authority or bring an action before the court of the EEA Member State where the Data exporter is established.</w:t>
      </w:r>
    </w:p>
    <w:p w14:paraId="0F3803F2" w14:textId="77777777" w:rsidR="00245943" w:rsidRPr="00E7021A" w:rsidRDefault="00245943" w:rsidP="00EE25EE">
      <w:pPr>
        <w:pStyle w:val="Sansinterligne"/>
        <w:jc w:val="both"/>
        <w:rPr>
          <w:rFonts w:ascii="Arial" w:hAnsi="Arial" w:cs="Arial"/>
          <w:sz w:val="20"/>
          <w:szCs w:val="20"/>
          <w:lang w:val="en-US"/>
        </w:rPr>
      </w:pPr>
    </w:p>
    <w:p w14:paraId="0F3803F3" w14:textId="77777777" w:rsidR="00EE25EE" w:rsidRPr="00E7021A" w:rsidRDefault="00EE25EE" w:rsidP="00EE25EE">
      <w:pPr>
        <w:pStyle w:val="Sansinterligne"/>
        <w:jc w:val="both"/>
        <w:rPr>
          <w:rFonts w:ascii="Arial" w:hAnsi="Arial" w:cs="Arial"/>
          <w:sz w:val="20"/>
          <w:szCs w:val="20"/>
          <w:lang w:val="en-US"/>
        </w:rPr>
      </w:pPr>
    </w:p>
    <w:p w14:paraId="0F3803F4" w14:textId="77777777" w:rsidR="00EE25EE" w:rsidRPr="00E7021A" w:rsidRDefault="00EE25EE" w:rsidP="00EE25EE">
      <w:pPr>
        <w:pStyle w:val="Sansinterligne"/>
        <w:jc w:val="both"/>
        <w:rPr>
          <w:rFonts w:ascii="Arial" w:hAnsi="Arial" w:cs="Arial"/>
          <w:sz w:val="20"/>
          <w:szCs w:val="20"/>
          <w:lang w:val="en-US"/>
        </w:rPr>
      </w:pPr>
    </w:p>
    <w:sectPr w:rsidR="00EE25EE" w:rsidRPr="00E7021A" w:rsidSect="002459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757E2" w14:textId="77777777" w:rsidR="0017293B" w:rsidRDefault="0017293B" w:rsidP="00EE25EE">
      <w:pPr>
        <w:spacing w:line="240" w:lineRule="auto"/>
      </w:pPr>
      <w:r>
        <w:separator/>
      </w:r>
    </w:p>
  </w:endnote>
  <w:endnote w:type="continuationSeparator" w:id="0">
    <w:p w14:paraId="50449918" w14:textId="77777777" w:rsidR="0017293B" w:rsidRDefault="0017293B" w:rsidP="00EE2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18DEC" w14:textId="77777777" w:rsidR="00730281" w:rsidRDefault="007302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2163" w14:textId="77777777" w:rsidR="00730281" w:rsidRDefault="007302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15B0" w14:textId="77777777" w:rsidR="00730281" w:rsidRDefault="007302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3F39F" w14:textId="77777777" w:rsidR="0017293B" w:rsidRDefault="0017293B" w:rsidP="00EE25EE">
      <w:pPr>
        <w:spacing w:line="240" w:lineRule="auto"/>
      </w:pPr>
      <w:r>
        <w:separator/>
      </w:r>
    </w:p>
  </w:footnote>
  <w:footnote w:type="continuationSeparator" w:id="0">
    <w:p w14:paraId="06F60000" w14:textId="77777777" w:rsidR="0017293B" w:rsidRDefault="0017293B" w:rsidP="00EE25EE">
      <w:pPr>
        <w:spacing w:line="240" w:lineRule="auto"/>
      </w:pPr>
      <w:r>
        <w:continuationSeparator/>
      </w:r>
    </w:p>
  </w:footnote>
  <w:footnote w:id="1">
    <w:p w14:paraId="0F3803F9" w14:textId="77777777" w:rsidR="00EE25EE" w:rsidRPr="00EE25EE" w:rsidRDefault="00EE25EE">
      <w:pPr>
        <w:pStyle w:val="Notedebasdepage"/>
        <w:rPr>
          <w:i/>
          <w:sz w:val="16"/>
          <w:szCs w:val="16"/>
          <w:lang w:val="en-US"/>
        </w:rPr>
      </w:pPr>
      <w:r w:rsidRPr="00EE25EE">
        <w:rPr>
          <w:rStyle w:val="Appelnotedebasdep"/>
          <w:i/>
          <w:sz w:val="16"/>
          <w:szCs w:val="16"/>
        </w:rPr>
        <w:footnoteRef/>
      </w:r>
      <w:r w:rsidRPr="00EE25EE">
        <w:rPr>
          <w:i/>
          <w:sz w:val="16"/>
          <w:szCs w:val="16"/>
          <w:lang w:val="en-US"/>
        </w:rPr>
        <w:t xml:space="preserve"> Personal data means any information enabling the direct or indirect identification of a natural person.</w:t>
      </w:r>
    </w:p>
  </w:footnote>
  <w:footnote w:id="2">
    <w:p w14:paraId="0F3803FA" w14:textId="77777777" w:rsidR="00EE25EE" w:rsidRPr="00EE25EE" w:rsidRDefault="00EE25EE">
      <w:pPr>
        <w:pStyle w:val="Notedebasdepage"/>
        <w:rPr>
          <w:i/>
          <w:sz w:val="16"/>
          <w:szCs w:val="16"/>
          <w:lang w:val="en-US"/>
        </w:rPr>
      </w:pPr>
      <w:r w:rsidRPr="00EE25EE">
        <w:rPr>
          <w:rStyle w:val="Appelnotedebasdep"/>
          <w:i/>
          <w:sz w:val="16"/>
          <w:szCs w:val="16"/>
        </w:rPr>
        <w:footnoteRef/>
      </w:r>
      <w:r w:rsidRPr="00EE25EE">
        <w:rPr>
          <w:i/>
          <w:sz w:val="16"/>
          <w:szCs w:val="16"/>
          <w:lang w:val="en-US"/>
        </w:rPr>
        <w:t xml:space="preserve"> EEA means Member States of the European Union plus Iceland, </w:t>
      </w:r>
      <w:proofErr w:type="gramStart"/>
      <w:r w:rsidRPr="00EE25EE">
        <w:rPr>
          <w:i/>
          <w:sz w:val="16"/>
          <w:szCs w:val="16"/>
          <w:lang w:val="en-US"/>
        </w:rPr>
        <w:t>Liechtenstein</w:t>
      </w:r>
      <w:proofErr w:type="gramEnd"/>
      <w:r w:rsidRPr="00EE25EE">
        <w:rPr>
          <w:i/>
          <w:sz w:val="16"/>
          <w:szCs w:val="16"/>
          <w:lang w:val="en-US"/>
        </w:rPr>
        <w:t xml:space="preserve"> and Norway.</w:t>
      </w:r>
    </w:p>
  </w:footnote>
  <w:footnote w:id="3">
    <w:p w14:paraId="0F3803FB" w14:textId="0B68C88F" w:rsidR="00EE25EE" w:rsidRPr="00EE25EE" w:rsidRDefault="00EE25EE">
      <w:pPr>
        <w:pStyle w:val="Notedebasdepage"/>
        <w:rPr>
          <w:i/>
          <w:sz w:val="16"/>
          <w:szCs w:val="16"/>
          <w:lang w:val="en-US"/>
        </w:rPr>
      </w:pPr>
      <w:r w:rsidRPr="00EE25EE">
        <w:rPr>
          <w:rStyle w:val="Appelnotedebasdep"/>
          <w:i/>
          <w:sz w:val="16"/>
          <w:szCs w:val="16"/>
        </w:rPr>
        <w:footnoteRef/>
      </w:r>
      <w:r w:rsidRPr="00EE25EE">
        <w:rPr>
          <w:i/>
          <w:sz w:val="16"/>
          <w:szCs w:val="16"/>
          <w:lang w:val="en-US"/>
        </w:rPr>
        <w:t xml:space="preserve"> Processing means any operation which is performed upon personal data, </w:t>
      </w:r>
      <w:proofErr w:type="gramStart"/>
      <w:r w:rsidRPr="00EE25EE">
        <w:rPr>
          <w:i/>
          <w:sz w:val="16"/>
          <w:szCs w:val="16"/>
          <w:lang w:val="en-US"/>
        </w:rPr>
        <w:t>whether or not</w:t>
      </w:r>
      <w:proofErr w:type="gramEnd"/>
      <w:r w:rsidRPr="00EE25EE">
        <w:rPr>
          <w:i/>
          <w:sz w:val="16"/>
          <w:szCs w:val="16"/>
          <w:lang w:val="en-US"/>
        </w:rPr>
        <w:t xml:space="preserve"> by automatic means (</w:t>
      </w:r>
      <w:proofErr w:type="spellStart"/>
      <w:r w:rsidR="00E97CC4">
        <w:rPr>
          <w:i/>
          <w:sz w:val="16"/>
          <w:szCs w:val="16"/>
          <w:lang w:val="en-US"/>
        </w:rPr>
        <w:t>e.g</w:t>
      </w:r>
      <w:proofErr w:type="spellEnd"/>
      <w:r w:rsidRPr="00EE25EE">
        <w:rPr>
          <w:i/>
          <w:sz w:val="16"/>
          <w:szCs w:val="16"/>
          <w:lang w:val="en-US"/>
        </w:rPr>
        <w:t>: collection, recording, storage, destruction…).</w:t>
      </w:r>
    </w:p>
  </w:footnote>
  <w:footnote w:id="4">
    <w:p w14:paraId="0F3803FC" w14:textId="77777777" w:rsidR="00E7021A" w:rsidRPr="00E7021A" w:rsidRDefault="00E7021A">
      <w:pPr>
        <w:pStyle w:val="Notedebasdepage"/>
        <w:rPr>
          <w:i/>
          <w:sz w:val="16"/>
          <w:szCs w:val="16"/>
          <w:lang w:val="en-US"/>
        </w:rPr>
      </w:pPr>
      <w:r w:rsidRPr="00E7021A">
        <w:rPr>
          <w:rStyle w:val="Appelnotedebasdep"/>
          <w:i/>
          <w:sz w:val="16"/>
          <w:szCs w:val="16"/>
        </w:rPr>
        <w:footnoteRef/>
      </w:r>
      <w:r w:rsidRPr="00E7021A">
        <w:rPr>
          <w:i/>
          <w:sz w:val="16"/>
          <w:szCs w:val="16"/>
          <w:lang w:val="en-US"/>
        </w:rPr>
        <w:t xml:space="preserve"> Transfer means all virtual and physical exchanges of EEA-originating personal data from one country to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9DEF" w14:textId="77777777" w:rsidR="00730281" w:rsidRDefault="007302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526F" w14:textId="77777777" w:rsidR="00730281" w:rsidRDefault="007302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66059" w14:textId="77777777" w:rsidR="00730281" w:rsidRDefault="007302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7C9C"/>
    <w:multiLevelType w:val="hybridMultilevel"/>
    <w:tmpl w:val="F70E98A2"/>
    <w:lvl w:ilvl="0" w:tplc="0630BF1A">
      <w:start w:val="1"/>
      <w:numFmt w:val="decimal"/>
      <w:lvlText w:val="%1."/>
      <w:lvlJc w:val="left"/>
      <w:pPr>
        <w:ind w:left="567" w:hanging="567"/>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36B59BA"/>
    <w:multiLevelType w:val="hybridMultilevel"/>
    <w:tmpl w:val="3CE6B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753E47"/>
    <w:multiLevelType w:val="hybridMultilevel"/>
    <w:tmpl w:val="20DA921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F9309C"/>
    <w:multiLevelType w:val="hybridMultilevel"/>
    <w:tmpl w:val="F6EEA1B6"/>
    <w:lvl w:ilvl="0" w:tplc="7DDE4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6E73B2"/>
    <w:multiLevelType w:val="hybridMultilevel"/>
    <w:tmpl w:val="FC04B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2112A4"/>
    <w:multiLevelType w:val="hybridMultilevel"/>
    <w:tmpl w:val="99B2C9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351F68"/>
    <w:multiLevelType w:val="hybridMultilevel"/>
    <w:tmpl w:val="BD12FEC0"/>
    <w:lvl w:ilvl="0" w:tplc="28D6FF4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EE"/>
    <w:rsid w:val="0007243B"/>
    <w:rsid w:val="0007640F"/>
    <w:rsid w:val="00085DF6"/>
    <w:rsid w:val="000964F7"/>
    <w:rsid w:val="000A5858"/>
    <w:rsid w:val="000E7085"/>
    <w:rsid w:val="00106BF5"/>
    <w:rsid w:val="0014588C"/>
    <w:rsid w:val="00151178"/>
    <w:rsid w:val="0017293B"/>
    <w:rsid w:val="00183B27"/>
    <w:rsid w:val="001B74E0"/>
    <w:rsid w:val="001C3689"/>
    <w:rsid w:val="001E331B"/>
    <w:rsid w:val="00213096"/>
    <w:rsid w:val="00245943"/>
    <w:rsid w:val="0026374B"/>
    <w:rsid w:val="00271964"/>
    <w:rsid w:val="002831A6"/>
    <w:rsid w:val="002A35E7"/>
    <w:rsid w:val="003005D2"/>
    <w:rsid w:val="0031397F"/>
    <w:rsid w:val="0033535E"/>
    <w:rsid w:val="00336161"/>
    <w:rsid w:val="00360685"/>
    <w:rsid w:val="003B2E0C"/>
    <w:rsid w:val="00472CDA"/>
    <w:rsid w:val="00474431"/>
    <w:rsid w:val="004B7518"/>
    <w:rsid w:val="004D1945"/>
    <w:rsid w:val="004D7ECB"/>
    <w:rsid w:val="004E3692"/>
    <w:rsid w:val="004E5FAB"/>
    <w:rsid w:val="005374D3"/>
    <w:rsid w:val="0059679F"/>
    <w:rsid w:val="005B1111"/>
    <w:rsid w:val="005C45A1"/>
    <w:rsid w:val="005F12F5"/>
    <w:rsid w:val="0060262B"/>
    <w:rsid w:val="00646F5D"/>
    <w:rsid w:val="00647A0E"/>
    <w:rsid w:val="00662B4C"/>
    <w:rsid w:val="00673B79"/>
    <w:rsid w:val="00677560"/>
    <w:rsid w:val="00680C5B"/>
    <w:rsid w:val="00687C8F"/>
    <w:rsid w:val="006B7BBA"/>
    <w:rsid w:val="006E2139"/>
    <w:rsid w:val="00730281"/>
    <w:rsid w:val="00736744"/>
    <w:rsid w:val="0074487C"/>
    <w:rsid w:val="0076218A"/>
    <w:rsid w:val="00763277"/>
    <w:rsid w:val="007B3490"/>
    <w:rsid w:val="007C3CE9"/>
    <w:rsid w:val="007D0590"/>
    <w:rsid w:val="007E140D"/>
    <w:rsid w:val="007F6FD7"/>
    <w:rsid w:val="00807CB1"/>
    <w:rsid w:val="00860B47"/>
    <w:rsid w:val="008879FD"/>
    <w:rsid w:val="008C630B"/>
    <w:rsid w:val="0095685D"/>
    <w:rsid w:val="00964494"/>
    <w:rsid w:val="0097729D"/>
    <w:rsid w:val="0099149F"/>
    <w:rsid w:val="009A1DB2"/>
    <w:rsid w:val="009D496A"/>
    <w:rsid w:val="009F3AD0"/>
    <w:rsid w:val="00A60D99"/>
    <w:rsid w:val="00A815DB"/>
    <w:rsid w:val="00A8197B"/>
    <w:rsid w:val="00AC4097"/>
    <w:rsid w:val="00AC44E8"/>
    <w:rsid w:val="00B21343"/>
    <w:rsid w:val="00B433F6"/>
    <w:rsid w:val="00B4578A"/>
    <w:rsid w:val="00B64917"/>
    <w:rsid w:val="00B73474"/>
    <w:rsid w:val="00B86B7D"/>
    <w:rsid w:val="00BE0D1E"/>
    <w:rsid w:val="00BE5885"/>
    <w:rsid w:val="00C12FB0"/>
    <w:rsid w:val="00C21C65"/>
    <w:rsid w:val="00C62521"/>
    <w:rsid w:val="00C673B0"/>
    <w:rsid w:val="00CC2D65"/>
    <w:rsid w:val="00CD12E2"/>
    <w:rsid w:val="00CF2EF0"/>
    <w:rsid w:val="00CF48C7"/>
    <w:rsid w:val="00CF635A"/>
    <w:rsid w:val="00D20BE4"/>
    <w:rsid w:val="00D460CF"/>
    <w:rsid w:val="00DD70A6"/>
    <w:rsid w:val="00DF1C81"/>
    <w:rsid w:val="00E028D1"/>
    <w:rsid w:val="00E0393A"/>
    <w:rsid w:val="00E165DC"/>
    <w:rsid w:val="00E16B61"/>
    <w:rsid w:val="00E3524B"/>
    <w:rsid w:val="00E6690C"/>
    <w:rsid w:val="00E7021A"/>
    <w:rsid w:val="00E97CC4"/>
    <w:rsid w:val="00EE25EE"/>
    <w:rsid w:val="00EF02F9"/>
    <w:rsid w:val="00F00B44"/>
    <w:rsid w:val="00F10242"/>
    <w:rsid w:val="00F10C33"/>
    <w:rsid w:val="00F17CCC"/>
    <w:rsid w:val="00F34AB9"/>
    <w:rsid w:val="00F525B3"/>
    <w:rsid w:val="00F90B51"/>
    <w:rsid w:val="00F9143E"/>
    <w:rsid w:val="00FB4EC3"/>
    <w:rsid w:val="00FD40B4"/>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8030D"/>
  <w15:docId w15:val="{1E8DFB7C-D28A-4B70-8088-8EC145F2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5EE"/>
    <w:pPr>
      <w:pBdr>
        <w:top w:val="nil"/>
        <w:left w:val="nil"/>
        <w:bottom w:val="nil"/>
        <w:right w:val="nil"/>
        <w:between w:val="nil"/>
      </w:pBdr>
      <w:spacing w:after="0"/>
    </w:pPr>
    <w:rPr>
      <w:rFonts w:ascii="Arial" w:eastAsia="Arial" w:hAnsi="Arial" w:cs="Arial"/>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E25EE"/>
    <w:pPr>
      <w:spacing w:after="0" w:line="240" w:lineRule="auto"/>
    </w:pPr>
  </w:style>
  <w:style w:type="paragraph" w:styleId="En-tte">
    <w:name w:val="header"/>
    <w:basedOn w:val="Normal"/>
    <w:link w:val="En-tteCar"/>
    <w:uiPriority w:val="99"/>
    <w:unhideWhenUsed/>
    <w:rsid w:val="00EE25EE"/>
    <w:pPr>
      <w:tabs>
        <w:tab w:val="center" w:pos="4536"/>
        <w:tab w:val="right" w:pos="9072"/>
      </w:tabs>
      <w:spacing w:line="240" w:lineRule="auto"/>
    </w:pPr>
  </w:style>
  <w:style w:type="character" w:customStyle="1" w:styleId="En-tteCar">
    <w:name w:val="En-tête Car"/>
    <w:basedOn w:val="Policepardfaut"/>
    <w:link w:val="En-tte"/>
    <w:uiPriority w:val="99"/>
    <w:rsid w:val="00EE25EE"/>
    <w:rPr>
      <w:rFonts w:ascii="Arial" w:eastAsia="Arial" w:hAnsi="Arial" w:cs="Arial"/>
      <w:color w:val="000000"/>
      <w:lang w:eastAsia="fr-FR"/>
    </w:rPr>
  </w:style>
  <w:style w:type="paragraph" w:styleId="Paragraphedeliste">
    <w:name w:val="List Paragraph"/>
    <w:basedOn w:val="Normal"/>
    <w:link w:val="ParagraphedelisteCar"/>
    <w:uiPriority w:val="34"/>
    <w:qFormat/>
    <w:rsid w:val="00EE25EE"/>
    <w:pPr>
      <w:ind w:left="720"/>
      <w:contextualSpacing/>
    </w:pPr>
  </w:style>
  <w:style w:type="character" w:customStyle="1" w:styleId="ParagraphedelisteCar">
    <w:name w:val="Paragraphe de liste Car"/>
    <w:link w:val="Paragraphedeliste"/>
    <w:uiPriority w:val="34"/>
    <w:rsid w:val="00EE25EE"/>
    <w:rPr>
      <w:rFonts w:ascii="Arial" w:eastAsia="Arial" w:hAnsi="Arial" w:cs="Arial"/>
      <w:color w:val="000000"/>
      <w:lang w:eastAsia="fr-FR"/>
    </w:rPr>
  </w:style>
  <w:style w:type="character" w:styleId="Lienhypertexte">
    <w:name w:val="Hyperlink"/>
    <w:basedOn w:val="Policepardfaut"/>
    <w:uiPriority w:val="99"/>
    <w:unhideWhenUsed/>
    <w:rsid w:val="00EE25EE"/>
    <w:rPr>
      <w:color w:val="0000FF" w:themeColor="hyperlink"/>
      <w:u w:val="single"/>
    </w:rPr>
  </w:style>
  <w:style w:type="paragraph" w:styleId="Notedebasdepage">
    <w:name w:val="footnote text"/>
    <w:basedOn w:val="Normal"/>
    <w:link w:val="NotedebasdepageCar"/>
    <w:uiPriority w:val="99"/>
    <w:semiHidden/>
    <w:unhideWhenUsed/>
    <w:rsid w:val="00EE25EE"/>
    <w:pPr>
      <w:spacing w:line="240" w:lineRule="auto"/>
    </w:pPr>
    <w:rPr>
      <w:sz w:val="20"/>
      <w:szCs w:val="20"/>
    </w:rPr>
  </w:style>
  <w:style w:type="character" w:customStyle="1" w:styleId="NotedebasdepageCar">
    <w:name w:val="Note de bas de page Car"/>
    <w:basedOn w:val="Policepardfaut"/>
    <w:link w:val="Notedebasdepage"/>
    <w:uiPriority w:val="99"/>
    <w:semiHidden/>
    <w:rsid w:val="00EE25EE"/>
    <w:rPr>
      <w:rFonts w:ascii="Arial" w:eastAsia="Arial" w:hAnsi="Arial" w:cs="Arial"/>
      <w:color w:val="000000"/>
      <w:sz w:val="20"/>
      <w:szCs w:val="20"/>
      <w:lang w:eastAsia="fr-FR"/>
    </w:rPr>
  </w:style>
  <w:style w:type="character" w:styleId="Appelnotedebasdep">
    <w:name w:val="footnote reference"/>
    <w:basedOn w:val="Policepardfaut"/>
    <w:uiPriority w:val="99"/>
    <w:semiHidden/>
    <w:unhideWhenUsed/>
    <w:rsid w:val="00EE25EE"/>
    <w:rPr>
      <w:vertAlign w:val="superscript"/>
    </w:rPr>
  </w:style>
  <w:style w:type="paragraph" w:styleId="Pieddepage">
    <w:name w:val="footer"/>
    <w:basedOn w:val="Normal"/>
    <w:link w:val="PieddepageCar"/>
    <w:uiPriority w:val="99"/>
    <w:unhideWhenUsed/>
    <w:rsid w:val="00F17CCC"/>
    <w:pPr>
      <w:tabs>
        <w:tab w:val="center" w:pos="4513"/>
        <w:tab w:val="right" w:pos="9026"/>
      </w:tabs>
      <w:spacing w:line="240" w:lineRule="auto"/>
    </w:pPr>
  </w:style>
  <w:style w:type="character" w:customStyle="1" w:styleId="PieddepageCar">
    <w:name w:val="Pied de page Car"/>
    <w:basedOn w:val="Policepardfaut"/>
    <w:link w:val="Pieddepage"/>
    <w:uiPriority w:val="99"/>
    <w:rsid w:val="00F17CCC"/>
    <w:rPr>
      <w:rFonts w:ascii="Arial" w:eastAsia="Arial" w:hAnsi="Arial" w:cs="Arial"/>
      <w:color w:val="000000"/>
      <w:lang w:eastAsia="fr-FR"/>
    </w:rPr>
  </w:style>
  <w:style w:type="character" w:styleId="Mentionnonrsolue">
    <w:name w:val="Unresolved Mention"/>
    <w:basedOn w:val="Policepardfaut"/>
    <w:uiPriority w:val="99"/>
    <w:semiHidden/>
    <w:unhideWhenUsed/>
    <w:rsid w:val="00730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totalenergi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totalenergi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ata-protection@totalenergi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B848F879624498B392F20100BD757" ma:contentTypeVersion="11" ma:contentTypeDescription="Crée un document." ma:contentTypeScope="" ma:versionID="7ae34bc0152a9798438bfeff48c6d447">
  <xsd:schema xmlns:xsd="http://www.w3.org/2001/XMLSchema" xmlns:xs="http://www.w3.org/2001/XMLSchema" xmlns:p="http://schemas.microsoft.com/office/2006/metadata/properties" xmlns:ns2="123eeaf7-25e1-4a77-8697-1785b82976c5" xmlns:ns3="2e39b1d7-6acb-44d9-9b93-f5b007d359e4" targetNamespace="http://schemas.microsoft.com/office/2006/metadata/properties" ma:root="true" ma:fieldsID="229415d98469b1643ccf335fc4898014" ns2:_="" ns3:_="">
    <xsd:import namespace="123eeaf7-25e1-4a77-8697-1785b82976c5"/>
    <xsd:import namespace="2e39b1d7-6acb-44d9-9b93-f5b007d35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eeaf7-25e1-4a77-8697-1785b8297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9b1d7-6acb-44d9-9b93-f5b007d359e4"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1323F-F6D9-442A-8150-09522C93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eeaf7-25e1-4a77-8697-1785b82976c5"/>
    <ds:schemaRef ds:uri="2e39b1d7-6acb-44d9-9b93-f5b007d35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A5281-0BBB-4350-8ADC-2B56B832033D}">
  <ds:schemaRefs>
    <ds:schemaRef ds:uri="http://purl.org/dc/terms/"/>
    <ds:schemaRef ds:uri="http://schemas.microsoft.com/office/2006/documentManagement/types"/>
    <ds:schemaRef ds:uri="http://www.w3.org/XML/1998/namespace"/>
    <ds:schemaRef ds:uri="http://schemas.openxmlformats.org/package/2006/metadata/core-properties"/>
    <ds:schemaRef ds:uri="123eeaf7-25e1-4a77-8697-1785b82976c5"/>
    <ds:schemaRef ds:uri="http://schemas.microsoft.com/office/2006/metadata/properties"/>
    <ds:schemaRef ds:uri="http://purl.org/dc/dcmitype/"/>
    <ds:schemaRef ds:uri="2e39b1d7-6acb-44d9-9b93-f5b007d359e4"/>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7A3BF6B-9085-4C77-92F4-DA043206CF0B}">
  <ds:schemaRefs>
    <ds:schemaRef ds:uri="http://schemas.microsoft.com/sharepoint/v3/contenttype/forms"/>
  </ds:schemaRefs>
</ds:datastoreItem>
</file>

<file path=customXml/itemProps4.xml><?xml version="1.0" encoding="utf-8"?>
<ds:datastoreItem xmlns:ds="http://schemas.openxmlformats.org/officeDocument/2006/customXml" ds:itemID="{036C74C8-8F21-4DC3-8EA3-BEB92A4D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2216</Words>
  <Characters>12191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TOTAL</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L0502021</dc:creator>
  <cp:lastModifiedBy>Sarah JARROT</cp:lastModifiedBy>
  <cp:revision>2</cp:revision>
  <dcterms:created xsi:type="dcterms:W3CDTF">2021-08-12T08:47:00Z</dcterms:created>
  <dcterms:modified xsi:type="dcterms:W3CDTF">2021-08-12T08:47:00Z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0x010100645B848F879624498B392F20100BD757</vt:lpwstr>
  </property>
  <property fmtid="{D5CDD505-2E9C-101B-9397-08002B2CF9AE}" pid="3" name="TaxKeyword">
    <vt:lpwstr/>
  </property>
  <property fmtid="{D5CDD505-2E9C-101B-9397-08002B2CF9AE}" pid="4" name="WSDocumentType">
    <vt:lpwstr/>
  </property>
  <property fmtid="{D5CDD505-2E9C-101B-9397-08002B2CF9AE}" pid="5" name="Order">
    <vt:r8>414100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SIP_Label_2b30ed1b-e95f-40b5-af89-828263f287a7_Enabled">
    <vt:lpwstr>true</vt:lpwstr>
  </property>
  <property fmtid="{D5CDD505-2E9C-101B-9397-08002B2CF9AE}" pid="10" name="MSIP_Label_2b30ed1b-e95f-40b5-af89-828263f287a7_SetDate">
    <vt:lpwstr>2021-06-17T15:24:42Z</vt:lpwstr>
  </property>
  <property fmtid="{D5CDD505-2E9C-101B-9397-08002B2CF9AE}" pid="11" name="MSIP_Label_2b30ed1b-e95f-40b5-af89-828263f287a7_Method">
    <vt:lpwstr>Standard</vt:lpwstr>
  </property>
  <property fmtid="{D5CDD505-2E9C-101B-9397-08002B2CF9AE}" pid="12" name="MSIP_Label_2b30ed1b-e95f-40b5-af89-828263f287a7_Name">
    <vt:lpwstr>2b30ed1b-e95f-40b5-af89-828263f287a7</vt:lpwstr>
  </property>
  <property fmtid="{D5CDD505-2E9C-101B-9397-08002B2CF9AE}" pid="13" name="MSIP_Label_2b30ed1b-e95f-40b5-af89-828263f287a7_SiteId">
    <vt:lpwstr>329e91b0-e21f-48fb-a071-456717ecc28e</vt:lpwstr>
  </property>
  <property fmtid="{D5CDD505-2E9C-101B-9397-08002B2CF9AE}" pid="14" name="MSIP_Label_2b30ed1b-e95f-40b5-af89-828263f287a7_ActionId">
    <vt:lpwstr>2bc5548c-e5b2-4778-b586-8e3f76e19c4a</vt:lpwstr>
  </property>
  <property fmtid="{D5CDD505-2E9C-101B-9397-08002B2CF9AE}" pid="15" name="MSIP_Label_2b30ed1b-e95f-40b5-af89-828263f287a7_ContentBits">
    <vt:lpwstr>0</vt:lpwstr>
  </property>
</Properties>
</file>